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6"/>
          <w:szCs w:val="36"/>
        </w:rPr>
      </w:pPr>
    </w:p>
    <w:p>
      <w:pPr>
        <w:adjustRightInd w:val="0"/>
        <w:snapToGrid w:val="0"/>
        <w:jc w:val="center"/>
        <w:outlineLvl w:val="0"/>
        <w:rPr>
          <w:rFonts w:hint="eastAsia" w:ascii="方正小标宋_GBK" w:eastAsia="方正小标宋_GBK"/>
          <w:bCs/>
          <w:sz w:val="72"/>
          <w:szCs w:val="72"/>
        </w:rPr>
      </w:pPr>
      <w:bookmarkStart w:id="0" w:name="_Toc22888"/>
      <w:bookmarkStart w:id="1" w:name="_Toc9281"/>
      <w:r>
        <w:rPr>
          <w:rFonts w:hint="eastAsia" w:ascii="方正小标宋_GBK" w:eastAsia="方正小标宋_GBK"/>
          <w:bCs/>
          <w:sz w:val="72"/>
          <w:szCs w:val="72"/>
        </w:rPr>
        <w:t>建设项目环境影响报告表</w:t>
      </w:r>
      <w:bookmarkEnd w:id="0"/>
      <w:bookmarkEnd w:id="1"/>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9"/>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00"/>
        <w:textAlignment w:val="auto"/>
        <w:rPr>
          <w:rFonts w:hint="default" w:ascii="仿宋_GB2312" w:eastAsia="仿宋_GB2312"/>
          <w:sz w:val="36"/>
          <w:szCs w:val="36"/>
          <w:u w:val="single"/>
          <w:lang w:val="en-US"/>
        </w:rPr>
      </w:pPr>
      <w:r>
        <w:rPr>
          <w:rFonts w:hint="eastAsia" w:ascii="仿宋_GB2312" w:eastAsia="仿宋_GB2312"/>
          <w:sz w:val="36"/>
          <w:szCs w:val="36"/>
        </w:rPr>
        <w:t>项目名称：</w:t>
      </w:r>
      <w:r>
        <w:rPr>
          <w:rFonts w:hint="eastAsia" w:ascii="仿宋_GB2312" w:eastAsia="仿宋_GB2312"/>
          <w:sz w:val="36"/>
          <w:szCs w:val="36"/>
          <w:u w:val="single"/>
          <w:lang w:val="en-US" w:eastAsia="zh-CN"/>
        </w:rPr>
        <w:t>XR光学模组研发及制造总部基地一期项目</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200"/>
        <w:textAlignment w:val="auto"/>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lang w:val="en-US" w:eastAsia="zh-CN"/>
        </w:rPr>
        <w:t>江西德成光电技术有限公司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200"/>
        <w:textAlignment w:val="auto"/>
        <w:rPr>
          <w:rFonts w:hint="eastAsia"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二〇二三</w:t>
      </w:r>
      <w:r>
        <w:rPr>
          <w:rFonts w:hint="eastAsia" w:ascii="仿宋_GB2312" w:eastAsia="仿宋_GB2312"/>
          <w:sz w:val="36"/>
          <w:szCs w:val="36"/>
          <w:u w:val="single"/>
        </w:rPr>
        <w:t>年</w:t>
      </w:r>
      <w:r>
        <w:rPr>
          <w:rFonts w:hint="eastAsia" w:ascii="仿宋_GB2312" w:eastAsia="仿宋_GB2312"/>
          <w:sz w:val="36"/>
          <w:szCs w:val="36"/>
          <w:u w:val="single"/>
          <w:lang w:val="en-US" w:eastAsia="zh-CN"/>
        </w:rPr>
        <w:t>一</w:t>
      </w:r>
      <w:r>
        <w:rPr>
          <w:rFonts w:hint="eastAsia" w:ascii="仿宋_GB2312" w:eastAsia="仿宋_GB2312"/>
          <w:sz w:val="36"/>
          <w:szCs w:val="36"/>
          <w:u w:val="single"/>
        </w:rPr>
        <w:t>月</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2"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bookmarkEnd w:id="2"/>
    <w:p>
      <w:pPr>
        <w:adjustRightInd w:val="0"/>
        <w:snapToGrid w:val="0"/>
        <w:spacing w:line="288" w:lineRule="auto"/>
        <w:jc w:val="center"/>
        <w:outlineLvl w:val="9"/>
        <w:rPr>
          <w:rFonts w:hint="eastAsia" w:ascii="楷体_GB2312" w:eastAsia="楷体_GB2312"/>
          <w:sz w:val="36"/>
          <w:szCs w:val="36"/>
        </w:rPr>
      </w:pPr>
      <w:bookmarkStart w:id="3" w:name="_Toc27677"/>
      <w:bookmarkStart w:id="4" w:name="_Toc21573"/>
      <w:r>
        <w:rPr>
          <w:rFonts w:hint="eastAsia" w:ascii="楷体_GB2312" w:eastAsia="楷体_GB2312"/>
          <w:sz w:val="36"/>
          <w:szCs w:val="36"/>
        </w:rPr>
        <w:t>中华人民共和国生态环境部制</w:t>
      </w:r>
      <w:bookmarkEnd w:id="3"/>
      <w:bookmarkEnd w:id="4"/>
    </w:p>
    <w:p>
      <w:pPr>
        <w:outlineLvl w:val="9"/>
        <w:rPr>
          <w:rFonts w:hint="eastAsia" w:ascii="楷体_GB2312" w:eastAsia="楷体_GB2312"/>
          <w:sz w:val="36"/>
          <w:szCs w:val="36"/>
        </w:rPr>
      </w:pPr>
    </w:p>
    <w:p>
      <w:pPr>
        <w:outlineLvl w:val="9"/>
        <w:rPr>
          <w:rFonts w:hint="eastAsia"/>
        </w:rPr>
      </w:pPr>
    </w:p>
    <w:p>
      <w:pPr>
        <w:outlineLvl w:val="9"/>
        <w:rPr>
          <w:rFonts w:hint="eastAsia"/>
        </w:rPr>
      </w:pPr>
    </w:p>
    <w:p>
      <w:pPr>
        <w:adjustRightInd w:val="0"/>
        <w:snapToGrid w:val="0"/>
        <w:spacing w:line="288" w:lineRule="auto"/>
        <w:ind w:firstLine="1040"/>
        <w:rPr>
          <w:rFonts w:ascii="仿宋_GB2312" w:eastAsia="仿宋_GB2312"/>
          <w:sz w:val="36"/>
          <w:szCs w:val="36"/>
        </w:rPr>
      </w:pPr>
    </w:p>
    <w:sdt>
      <w:sdtPr>
        <w:rPr>
          <w:rFonts w:ascii="宋体" w:hAnsi="宋体" w:eastAsia="宋体" w:cs="Times New Roman"/>
          <w:b/>
          <w:bCs/>
          <w:kern w:val="2"/>
          <w:sz w:val="30"/>
          <w:szCs w:val="30"/>
          <w:lang w:val="en-US" w:eastAsia="zh-CN" w:bidi="ar-SA"/>
        </w:rPr>
        <w:id w:val="147466500"/>
        <w15:color w:val="DBDBDB"/>
        <w:docPartObj>
          <w:docPartGallery w:val="Table of Contents"/>
          <w:docPartUnique/>
        </w:docPartObj>
      </w:sdtPr>
      <w:sdtEndPr>
        <w:rPr>
          <w:rFonts w:ascii="Times New Roman" w:hAnsi="Times New Roman" w:eastAsia="宋体" w:cs="Times New Roman"/>
          <w:b/>
          <w:bCs/>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rPr>
              <w:b/>
              <w:bCs/>
              <w:sz w:val="32"/>
              <w:szCs w:val="32"/>
            </w:rPr>
          </w:pPr>
          <w:r>
            <w:rPr>
              <w:rFonts w:ascii="宋体" w:hAnsi="宋体" w:eastAsia="宋体"/>
              <w:b/>
              <w:bCs/>
              <w:sz w:val="32"/>
              <w:szCs w:val="32"/>
            </w:rPr>
            <w:t>目录</w:t>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fldChar w:fldCharType="begin"/>
          </w:r>
          <w:r>
            <w:instrText xml:space="preserve">TOC \o "1-2" \h \u </w:instrText>
          </w:r>
          <w:r>
            <w:fldChar w:fldCharType="separate"/>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_Toc732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一、建设项目基本情况</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_Toc732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_Toc31554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二、建设项目工程分析</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_Toc31554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15</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_Toc24695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三、区域环境质量现状、环境保护目标及评价标准</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_Toc24695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25</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_Toc10796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四、主要环境影响和保护措施</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_Toc10796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30</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_Toc13788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五、环境保护措施监督检查清单</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_Toc13788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57</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_Toc10748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六、结论</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_Toc10748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59</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HYPERLINK \l _Toc16896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napToGrid w:val="0"/>
              <w:sz w:val="24"/>
              <w:szCs w:val="24"/>
            </w:rPr>
            <w:t>附表</w:t>
          </w:r>
          <w:r>
            <w:rPr>
              <w:rFonts w:hint="default" w:ascii="Times New Roman" w:hAnsi="Times New Roman" w:eastAsia="宋体" w:cs="Times New Roman"/>
              <w:b w:val="0"/>
              <w:bCs/>
              <w:sz w:val="24"/>
              <w:szCs w:val="24"/>
            </w:rPr>
            <w:tab/>
          </w:r>
          <w:r>
            <w:rPr>
              <w:rFonts w:hint="default" w:ascii="Times New Roman" w:hAnsi="Times New Roman" w:eastAsia="宋体" w:cs="Times New Roman"/>
              <w:b w:val="0"/>
              <w:bCs/>
              <w:sz w:val="24"/>
              <w:szCs w:val="24"/>
            </w:rPr>
            <w:fldChar w:fldCharType="begin"/>
          </w:r>
          <w:r>
            <w:rPr>
              <w:rFonts w:hint="default" w:ascii="Times New Roman" w:hAnsi="Times New Roman" w:eastAsia="宋体" w:cs="Times New Roman"/>
              <w:b w:val="0"/>
              <w:bCs/>
              <w:sz w:val="24"/>
              <w:szCs w:val="24"/>
            </w:rPr>
            <w:instrText xml:space="preserve"> PAGEREF _Toc16896 \h </w:instrText>
          </w:r>
          <w:r>
            <w:rPr>
              <w:rFonts w:hint="default" w:ascii="Times New Roman" w:hAnsi="Times New Roman" w:eastAsia="宋体" w:cs="Times New Roman"/>
              <w:b w:val="0"/>
              <w:bCs/>
              <w:sz w:val="24"/>
              <w:szCs w:val="24"/>
            </w:rPr>
            <w:fldChar w:fldCharType="separate"/>
          </w:r>
          <w:r>
            <w:rPr>
              <w:rFonts w:hint="default" w:ascii="Times New Roman" w:hAnsi="Times New Roman" w:eastAsia="宋体" w:cs="Times New Roman"/>
              <w:b w:val="0"/>
              <w:bCs/>
              <w:sz w:val="24"/>
              <w:szCs w:val="24"/>
            </w:rPr>
            <w:t>60</w:t>
          </w:r>
          <w:r>
            <w:rPr>
              <w:rFonts w:hint="default" w:ascii="Times New Roman" w:hAnsi="Times New Roman" w:eastAsia="宋体" w:cs="Times New Roman"/>
              <w:b w:val="0"/>
              <w:bCs/>
              <w:sz w:val="24"/>
              <w:szCs w:val="24"/>
            </w:rPr>
            <w:fldChar w:fldCharType="end"/>
          </w:r>
          <w:r>
            <w:rPr>
              <w:rFonts w:hint="default" w:ascii="Times New Roman" w:hAnsi="Times New Roman" w:eastAsia="宋体" w:cs="Times New Roman"/>
              <w:b w:val="0"/>
              <w:bCs/>
              <w:sz w:val="24"/>
              <w:szCs w:val="24"/>
            </w:rPr>
            <w:fldChar w:fldCharType="end"/>
          </w:r>
        </w:p>
        <w:p>
          <w:pPr>
            <w:pStyle w:val="1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b/>
            </w:rPr>
          </w:pPr>
        </w:p>
        <w:p>
          <w:pPr>
            <w:pStyle w:val="2"/>
            <w:outlineLvl w:val="9"/>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docGrid w:linePitch="312" w:charSpace="0"/>
            </w:sectPr>
          </w:pPr>
          <w:r>
            <w:rPr>
              <w:b/>
            </w:rPr>
            <w:fldChar w:fldCharType="end"/>
          </w:r>
        </w:p>
      </w:sdtContent>
    </w:sdt>
    <w:p>
      <w:pPr>
        <w:pStyle w:val="24"/>
        <w:jc w:val="center"/>
        <w:outlineLvl w:val="0"/>
        <w:rPr>
          <w:rFonts w:hint="eastAsia" w:ascii="黑体" w:hAnsi="黑体" w:eastAsia="黑体"/>
          <w:snapToGrid w:val="0"/>
          <w:sz w:val="30"/>
          <w:szCs w:val="30"/>
        </w:rPr>
      </w:pPr>
      <w:bookmarkStart w:id="5" w:name="_Toc28430"/>
      <w:bookmarkStart w:id="6" w:name="_Toc732"/>
      <w:r>
        <w:rPr>
          <w:rFonts w:hint="eastAsia" w:ascii="黑体" w:hAnsi="黑体" w:eastAsia="黑体"/>
          <w:snapToGrid w:val="0"/>
          <w:sz w:val="30"/>
          <w:szCs w:val="30"/>
        </w:rPr>
        <w:t>一、建设项目基本情况</w:t>
      </w:r>
      <w:bookmarkEnd w:id="5"/>
      <w:bookmarkEnd w:id="6"/>
    </w:p>
    <w:tbl>
      <w:tblPr>
        <w:tblStyle w:val="27"/>
        <w:tblW w:w="498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78"/>
        <w:gridCol w:w="2476"/>
        <w:gridCol w:w="2366"/>
        <w:gridCol w:w="28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建设项目名称</w:t>
            </w:r>
          </w:p>
        </w:tc>
        <w:tc>
          <w:tcPr>
            <w:tcW w:w="3973" w:type="pct"/>
            <w:gridSpan w:val="3"/>
            <w:noWrap w:val="0"/>
            <w:vAlign w:val="center"/>
          </w:tcPr>
          <w:p>
            <w:pPr>
              <w:adjustRightInd w:val="0"/>
              <w:snapToGrid w:val="0"/>
              <w:jc w:val="center"/>
              <w:rPr>
                <w:rFonts w:hint="default" w:ascii="Times New Roman" w:hAnsi="Times New Roman" w:cs="Times New Roman"/>
                <w:sz w:val="24"/>
                <w:szCs w:val="24"/>
              </w:rPr>
            </w:pPr>
            <w:r>
              <w:rPr>
                <w:rFonts w:hint="eastAsia" w:cs="Times New Roman"/>
                <w:sz w:val="24"/>
                <w:szCs w:val="24"/>
                <w:lang w:val="en-US" w:eastAsia="zh-CN"/>
              </w:rPr>
              <w:t>XR光学模组研发及制造总部基地一期项目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项目代码</w:t>
            </w:r>
          </w:p>
        </w:tc>
        <w:tc>
          <w:tcPr>
            <w:tcW w:w="3973" w:type="pct"/>
            <w:gridSpan w:val="3"/>
            <w:noWrap w:val="0"/>
            <w:vAlign w:val="center"/>
          </w:tcPr>
          <w:p>
            <w:pPr>
              <w:adjustRightInd w:val="0"/>
              <w:snapToGrid w:val="0"/>
              <w:jc w:val="center"/>
              <w:rPr>
                <w:rFonts w:hint="default" w:ascii="Times New Roman" w:hAnsi="Times New Roman" w:cs="Times New Roman"/>
                <w:sz w:val="24"/>
                <w:szCs w:val="24"/>
              </w:rPr>
            </w:pPr>
            <w:r>
              <w:rPr>
                <w:rFonts w:hint="eastAsia" w:cs="Times New Roman"/>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建设单位联系人</w:t>
            </w:r>
          </w:p>
        </w:tc>
        <w:tc>
          <w:tcPr>
            <w:tcW w:w="1285" w:type="pct"/>
            <w:noWrap w:val="0"/>
            <w:vAlign w:val="center"/>
          </w:tcPr>
          <w:p>
            <w:pPr>
              <w:adjustRightInd w:val="0"/>
              <w:snapToGrid w:val="0"/>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罗岱</w:t>
            </w:r>
          </w:p>
        </w:tc>
        <w:tc>
          <w:tcPr>
            <w:tcW w:w="1227"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联系方式</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13810989112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建设地点</w:t>
            </w:r>
          </w:p>
        </w:tc>
        <w:tc>
          <w:tcPr>
            <w:tcW w:w="3973" w:type="pct"/>
            <w:gridSpan w:val="3"/>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u w:val="none"/>
              </w:rPr>
              <w:t>江西省上饶经济技术开发区兴业大道21号A栋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地理坐标</w:t>
            </w:r>
          </w:p>
        </w:tc>
        <w:tc>
          <w:tcPr>
            <w:tcW w:w="3973" w:type="pct"/>
            <w:gridSpan w:val="3"/>
            <w:noWrap w:val="0"/>
            <w:vAlign w:val="center"/>
          </w:tcPr>
          <w:p>
            <w:pPr>
              <w:jc w:val="center"/>
              <w:rPr>
                <w:rFonts w:hint="default" w:ascii="Times New Roman" w:hAnsi="Times New Roman" w:cs="Times New Roman"/>
                <w:sz w:val="24"/>
                <w:szCs w:val="24"/>
              </w:rPr>
            </w:pP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u w:val="single"/>
              </w:rPr>
              <w:t xml:space="preserve"> 117 </w:t>
            </w:r>
            <w:r>
              <w:rPr>
                <w:rFonts w:hint="default" w:ascii="Times New Roman" w:hAnsi="Times New Roman" w:cs="Times New Roman"/>
                <w:color w:val="auto"/>
                <w:sz w:val="24"/>
                <w:szCs w:val="24"/>
              </w:rPr>
              <w:t>度</w:t>
            </w:r>
            <w:r>
              <w:rPr>
                <w:rFonts w:hint="default" w:ascii="Times New Roman" w:hAnsi="Times New Roman" w:cs="Times New Roman"/>
                <w:color w:val="auto"/>
                <w:sz w:val="24"/>
                <w:szCs w:val="24"/>
                <w:u w:val="single"/>
              </w:rPr>
              <w:t xml:space="preserve"> 52 </w:t>
            </w:r>
            <w:r>
              <w:rPr>
                <w:rFonts w:hint="default" w:ascii="Times New Roman" w:hAnsi="Times New Roman" w:cs="Times New Roman"/>
                <w:color w:val="auto"/>
                <w:sz w:val="24"/>
                <w:szCs w:val="24"/>
              </w:rPr>
              <w:t>分</w:t>
            </w:r>
            <w:r>
              <w:rPr>
                <w:rFonts w:hint="default" w:ascii="Times New Roman" w:hAnsi="Times New Roman" w:cs="Times New Roman"/>
                <w:color w:val="auto"/>
                <w:sz w:val="24"/>
                <w:szCs w:val="24"/>
                <w:u w:val="single"/>
              </w:rPr>
              <w:t xml:space="preserve"> 36.415 </w:t>
            </w:r>
            <w:r>
              <w:rPr>
                <w:rFonts w:hint="default" w:ascii="Times New Roman" w:hAnsi="Times New Roman" w:cs="Times New Roman"/>
                <w:color w:val="auto"/>
                <w:sz w:val="24"/>
                <w:szCs w:val="24"/>
              </w:rPr>
              <w:t>秒，</w:t>
            </w:r>
            <w:r>
              <w:rPr>
                <w:rFonts w:hint="default" w:ascii="Times New Roman" w:hAnsi="Times New Roman" w:cs="Times New Roman"/>
                <w:color w:val="auto"/>
                <w:sz w:val="24"/>
                <w:szCs w:val="24"/>
                <w:u w:val="single"/>
              </w:rPr>
              <w:t xml:space="preserve"> 28 </w:t>
            </w:r>
            <w:r>
              <w:rPr>
                <w:rFonts w:hint="default" w:ascii="Times New Roman" w:hAnsi="Times New Roman" w:cs="Times New Roman"/>
                <w:color w:val="auto"/>
                <w:sz w:val="24"/>
                <w:szCs w:val="24"/>
              </w:rPr>
              <w:t>度</w:t>
            </w:r>
            <w:r>
              <w:rPr>
                <w:rFonts w:hint="default" w:ascii="Times New Roman" w:hAnsi="Times New Roman" w:cs="Times New Roman"/>
                <w:color w:val="auto"/>
                <w:sz w:val="24"/>
                <w:szCs w:val="24"/>
                <w:u w:val="single"/>
              </w:rPr>
              <w:t xml:space="preserve"> 24 </w:t>
            </w:r>
            <w:r>
              <w:rPr>
                <w:rFonts w:hint="default" w:ascii="Times New Roman" w:hAnsi="Times New Roman" w:cs="Times New Roman"/>
                <w:color w:val="auto"/>
                <w:sz w:val="24"/>
                <w:szCs w:val="24"/>
              </w:rPr>
              <w:t>分</w:t>
            </w:r>
            <w:r>
              <w:rPr>
                <w:rFonts w:hint="default" w:ascii="Times New Roman" w:hAnsi="Times New Roman" w:cs="Times New Roman"/>
                <w:color w:val="auto"/>
                <w:sz w:val="24"/>
                <w:szCs w:val="24"/>
                <w:u w:val="single"/>
              </w:rPr>
              <w:t xml:space="preserve"> 50.242</w:t>
            </w:r>
            <w:r>
              <w:rPr>
                <w:rFonts w:hint="default" w:ascii="Times New Roman" w:hAnsi="Times New Roman" w:cs="Times New Roman"/>
                <w:color w:val="auto"/>
                <w:sz w:val="24"/>
                <w:szCs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国民经济</w:t>
            </w:r>
          </w:p>
          <w:p>
            <w:pPr>
              <w:adjustRightInd w:val="0"/>
              <w:snapToGrid w:val="0"/>
              <w:jc w:val="center"/>
              <w:rPr>
                <w:rFonts w:ascii="宋体" w:hAnsi="宋体" w:cs="宋体"/>
                <w:sz w:val="24"/>
                <w:szCs w:val="24"/>
              </w:rPr>
            </w:pPr>
            <w:r>
              <w:rPr>
                <w:rFonts w:hint="eastAsia" w:ascii="宋体" w:hAnsi="宋体" w:cs="宋体"/>
                <w:sz w:val="24"/>
                <w:szCs w:val="24"/>
              </w:rPr>
              <w:t>行业类别</w:t>
            </w:r>
          </w:p>
        </w:tc>
        <w:tc>
          <w:tcPr>
            <w:tcW w:w="1285"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C4040 光学仪器制造</w:t>
            </w:r>
          </w:p>
        </w:tc>
        <w:tc>
          <w:tcPr>
            <w:tcW w:w="1227" w:type="pct"/>
            <w:noWrap w:val="0"/>
            <w:vAlign w:val="center"/>
          </w:tcPr>
          <w:p>
            <w:pPr>
              <w:adjustRightInd w:val="0"/>
              <w:snapToGrid w:val="0"/>
              <w:jc w:val="center"/>
              <w:rPr>
                <w:rFonts w:hint="default" w:ascii="Times New Roman" w:hAnsi="Times New Roman" w:cs="Times New Roman"/>
                <w:sz w:val="24"/>
                <w:szCs w:val="24"/>
              </w:rPr>
            </w:pPr>
            <w:bookmarkStart w:id="7" w:name="_Hlk49843745"/>
            <w:r>
              <w:rPr>
                <w:rFonts w:hint="default" w:ascii="Times New Roman" w:hAnsi="Times New Roman" w:cs="Times New Roman"/>
                <w:sz w:val="24"/>
                <w:szCs w:val="24"/>
              </w:rPr>
              <w:t>建设项目</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行业类别</w:t>
            </w:r>
            <w:bookmarkEnd w:id="7"/>
          </w:p>
        </w:tc>
        <w:tc>
          <w:tcPr>
            <w:tcW w:w="1460"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三十七、仪器仪表制造业40光学仪器制造404其他（仅分割、焊接、组装的除外；年用非溶剂型低VOCs含量涂料10吨以下的除外）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建设性质</w:t>
            </w:r>
          </w:p>
        </w:tc>
        <w:tc>
          <w:tcPr>
            <w:tcW w:w="1285" w:type="pct"/>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新建（迁建）</w:t>
            </w:r>
          </w:p>
          <w:p>
            <w:pPr>
              <w:jc w:val="left"/>
              <w:rPr>
                <w:rFonts w:hint="default" w:ascii="Times New Roman" w:hAnsi="Times New Roman" w:cs="Times New Roman"/>
                <w:sz w:val="24"/>
                <w:szCs w:val="24"/>
              </w:rPr>
            </w:pPr>
            <w:r>
              <w:rPr>
                <w:rFonts w:hint="default" w:ascii="Times New Roman" w:hAnsi="Times New Roman" w:cs="Times New Roman"/>
                <w:sz w:val="24"/>
                <w:szCs w:val="24"/>
              </w:rPr>
              <w:t>□改建</w:t>
            </w:r>
          </w:p>
          <w:p>
            <w:pPr>
              <w:jc w:val="left"/>
              <w:rPr>
                <w:rFonts w:hint="default" w:ascii="Times New Roman" w:hAnsi="Times New Roman" w:cs="Times New Roman"/>
                <w:sz w:val="24"/>
                <w:szCs w:val="24"/>
              </w:rPr>
            </w:pPr>
            <w:r>
              <w:rPr>
                <w:rFonts w:hint="default" w:ascii="Times New Roman" w:hAnsi="Times New Roman" w:cs="Times New Roman"/>
                <w:sz w:val="24"/>
                <w:szCs w:val="24"/>
              </w:rPr>
              <w:t>□扩建</w:t>
            </w:r>
          </w:p>
          <w:p>
            <w:pPr>
              <w:jc w:val="left"/>
              <w:rPr>
                <w:rFonts w:hint="default" w:ascii="Times New Roman" w:hAnsi="Times New Roman" w:cs="Times New Roman"/>
                <w:sz w:val="24"/>
                <w:szCs w:val="24"/>
              </w:rPr>
            </w:pPr>
            <w:r>
              <w:rPr>
                <w:rFonts w:hint="default" w:ascii="Times New Roman" w:hAnsi="Times New Roman" w:cs="Times New Roman"/>
                <w:sz w:val="24"/>
                <w:szCs w:val="24"/>
              </w:rPr>
              <w:t>□技术改造</w:t>
            </w:r>
          </w:p>
        </w:tc>
        <w:tc>
          <w:tcPr>
            <w:tcW w:w="1227"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建设项目</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申报情形</w:t>
            </w:r>
          </w:p>
        </w:tc>
        <w:tc>
          <w:tcPr>
            <w:tcW w:w="1460" w:type="pct"/>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 xml:space="preserve">首次申报项目             </w:t>
            </w:r>
          </w:p>
          <w:p>
            <w:pPr>
              <w:jc w:val="left"/>
              <w:rPr>
                <w:rFonts w:hint="default" w:ascii="Times New Roman" w:hAnsi="Times New Roman" w:cs="Times New Roman"/>
                <w:sz w:val="24"/>
                <w:szCs w:val="24"/>
              </w:rPr>
            </w:pPr>
            <w:r>
              <w:rPr>
                <w:rFonts w:hint="default" w:ascii="Times New Roman" w:hAnsi="Times New Roman" w:cs="Times New Roman"/>
                <w:sz w:val="24"/>
                <w:szCs w:val="24"/>
              </w:rPr>
              <w:t>□不予批准后再次申报项目</w:t>
            </w:r>
          </w:p>
          <w:p>
            <w:pPr>
              <w:jc w:val="left"/>
              <w:rPr>
                <w:rFonts w:hint="default" w:ascii="Times New Roman" w:hAnsi="Times New Roman" w:cs="Times New Roman"/>
                <w:sz w:val="24"/>
                <w:szCs w:val="24"/>
              </w:rPr>
            </w:pP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超五年重新审核项目     </w:t>
            </w:r>
          </w:p>
          <w:p>
            <w:pPr>
              <w:jc w:val="left"/>
              <w:rPr>
                <w:rFonts w:hint="default" w:ascii="Times New Roman" w:hAnsi="Times New Roman" w:cs="Times New Roman"/>
                <w:sz w:val="24"/>
                <w:szCs w:val="24"/>
              </w:rPr>
            </w:pPr>
            <w:r>
              <w:rPr>
                <w:rFonts w:hint="default" w:ascii="Times New Roman" w:hAnsi="Times New Roman" w:cs="Times New Roman"/>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项目审批（核准</w:t>
            </w:r>
            <w:r>
              <w:rPr>
                <w:rFonts w:ascii="宋体" w:hAnsi="宋体" w:cs="宋体"/>
                <w:sz w:val="24"/>
                <w:szCs w:val="24"/>
              </w:rPr>
              <w:t>/</w:t>
            </w:r>
          </w:p>
          <w:p>
            <w:pPr>
              <w:adjustRightInd w:val="0"/>
              <w:snapToGrid w:val="0"/>
              <w:jc w:val="center"/>
              <w:rPr>
                <w:rFonts w:ascii="宋体" w:hAnsi="宋体" w:cs="宋体"/>
                <w:sz w:val="24"/>
                <w:szCs w:val="24"/>
              </w:rPr>
            </w:pPr>
            <w:r>
              <w:rPr>
                <w:rFonts w:hint="eastAsia" w:ascii="宋体" w:hAnsi="宋体" w:cs="宋体"/>
                <w:sz w:val="24"/>
                <w:szCs w:val="24"/>
              </w:rPr>
              <w:t>备案）部门（选填）</w:t>
            </w:r>
          </w:p>
        </w:tc>
        <w:tc>
          <w:tcPr>
            <w:tcW w:w="1285" w:type="pct"/>
            <w:noWrap w:val="0"/>
            <w:vAlign w:val="center"/>
          </w:tcPr>
          <w:p>
            <w:pPr>
              <w:adjustRightInd w:val="0"/>
              <w:snapToGrid w:val="0"/>
              <w:jc w:val="center"/>
              <w:rPr>
                <w:rFonts w:hint="default" w:ascii="Times New Roman" w:hAnsi="Times New Roman" w:cs="Times New Roman"/>
                <w:sz w:val="24"/>
                <w:szCs w:val="24"/>
                <w:lang w:val="en-US"/>
              </w:rPr>
            </w:pPr>
            <w:r>
              <w:rPr>
                <w:rFonts w:hint="eastAsia" w:cs="Times New Roman"/>
                <w:sz w:val="24"/>
                <w:szCs w:val="24"/>
                <w:lang w:val="en-US" w:eastAsia="zh-CN"/>
              </w:rPr>
              <w:t>上饶经济技术开发区经济发展局</w:t>
            </w:r>
          </w:p>
        </w:tc>
        <w:tc>
          <w:tcPr>
            <w:tcW w:w="1227" w:type="pct"/>
            <w:noWrap w:val="0"/>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项目审批（核准/</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备案）文号（选填）</w:t>
            </w:r>
          </w:p>
        </w:tc>
        <w:tc>
          <w:tcPr>
            <w:tcW w:w="1460" w:type="pct"/>
            <w:noWrap w:val="0"/>
            <w:vAlign w:val="center"/>
          </w:tcPr>
          <w:p>
            <w:pPr>
              <w:adjustRightInd w:val="0"/>
              <w:snapToGrid w:val="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2210-361199-04-01-660231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总投资（万元）</w:t>
            </w:r>
          </w:p>
        </w:tc>
        <w:tc>
          <w:tcPr>
            <w:tcW w:w="1285"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12200</w:t>
            </w:r>
          </w:p>
        </w:tc>
        <w:tc>
          <w:tcPr>
            <w:tcW w:w="1227" w:type="pct"/>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环保投资（万元）</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color w:val="auto"/>
                <w:sz w:val="24"/>
                <w:szCs w:val="24"/>
                <w:lang w:val="en-US" w:eastAsia="zh-CN"/>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ascii="宋体" w:hAnsi="宋体" w:cs="宋体"/>
                <w:sz w:val="24"/>
                <w:szCs w:val="24"/>
              </w:rPr>
            </w:pPr>
            <w:r>
              <w:rPr>
                <w:rFonts w:hint="eastAsia" w:ascii="宋体" w:hAnsi="宋体" w:cs="宋体"/>
                <w:sz w:val="24"/>
                <w:szCs w:val="24"/>
              </w:rPr>
              <w:t>环保投资占比（</w:t>
            </w:r>
            <w:r>
              <w:rPr>
                <w:rFonts w:ascii="宋体" w:hAnsi="宋体" w:cs="宋体"/>
                <w:sz w:val="24"/>
                <w:szCs w:val="24"/>
              </w:rPr>
              <w:t>%</w:t>
            </w:r>
            <w:r>
              <w:rPr>
                <w:rFonts w:hint="eastAsia" w:ascii="宋体" w:hAnsi="宋体" w:cs="宋体"/>
                <w:sz w:val="24"/>
                <w:szCs w:val="24"/>
              </w:rPr>
              <w:t>）</w:t>
            </w:r>
          </w:p>
        </w:tc>
        <w:tc>
          <w:tcPr>
            <w:tcW w:w="1285"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color w:val="auto"/>
                <w:sz w:val="24"/>
                <w:szCs w:val="24"/>
                <w:lang w:val="en-US" w:eastAsia="zh-CN"/>
              </w:rPr>
              <w:t>0.49</w:t>
            </w:r>
            <w:r>
              <w:rPr>
                <w:rFonts w:hint="default" w:ascii="Times New Roman" w:hAnsi="Times New Roman" w:cs="Times New Roman"/>
                <w:color w:val="auto"/>
                <w:sz w:val="24"/>
                <w:szCs w:val="24"/>
                <w:lang w:val="en-US" w:eastAsia="zh-CN"/>
              </w:rPr>
              <w:t>%</w:t>
            </w:r>
          </w:p>
        </w:tc>
        <w:tc>
          <w:tcPr>
            <w:tcW w:w="1227" w:type="pct"/>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施工工期</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26" w:type="pct"/>
            <w:noWrap w:val="0"/>
            <w:tcMar>
              <w:top w:w="16" w:type="dxa"/>
              <w:left w:w="16" w:type="dxa"/>
              <w:right w:w="16" w:type="dxa"/>
            </w:tcMar>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是否开工建设</w:t>
            </w:r>
          </w:p>
        </w:tc>
        <w:tc>
          <w:tcPr>
            <w:tcW w:w="1285" w:type="pct"/>
            <w:noWrap w:val="0"/>
            <w:vAlign w:val="center"/>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否</w:t>
            </w:r>
          </w:p>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是：</w:t>
            </w:r>
            <w:r>
              <w:rPr>
                <w:rFonts w:hint="default" w:ascii="Times New Roman" w:hAnsi="Times New Roman" w:cs="Times New Roman"/>
                <w:sz w:val="24"/>
                <w:szCs w:val="24"/>
                <w:u w:val="single"/>
              </w:rPr>
              <w:t xml:space="preserve">             </w:t>
            </w:r>
          </w:p>
        </w:tc>
        <w:tc>
          <w:tcPr>
            <w:tcW w:w="1227" w:type="pct"/>
            <w:noWrap w:val="0"/>
            <w:tcMar>
              <w:top w:w="16" w:type="dxa"/>
              <w:left w:w="16" w:type="dxa"/>
              <w:right w:w="16" w:type="dxa"/>
            </w:tcMar>
            <w:vAlign w:val="center"/>
          </w:tcPr>
          <w:p>
            <w:pPr>
              <w:adjustRightInd w:val="0"/>
              <w:snapToGrid w:val="0"/>
              <w:jc w:val="center"/>
              <w:rPr>
                <w:rFonts w:hint="default" w:ascii="Times New Roman" w:hAnsi="Times New Roman" w:cs="Times New Roman"/>
                <w:spacing w:val="-6"/>
                <w:sz w:val="24"/>
                <w:szCs w:val="24"/>
              </w:rPr>
            </w:pPr>
            <w:r>
              <w:rPr>
                <w:rFonts w:hint="default" w:ascii="Times New Roman" w:hAnsi="Times New Roman" w:cs="Times New Roman"/>
                <w:spacing w:val="-6"/>
                <w:sz w:val="24"/>
                <w:szCs w:val="24"/>
              </w:rPr>
              <w:t>用地（用海）</w:t>
            </w:r>
          </w:p>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pacing w:val="-6"/>
                <w:sz w:val="24"/>
                <w:szCs w:val="24"/>
              </w:rPr>
              <w:t>面积（m</w:t>
            </w:r>
            <w:r>
              <w:rPr>
                <w:rFonts w:hint="default" w:ascii="Times New Roman" w:hAnsi="Times New Roman" w:cs="Times New Roman"/>
                <w:spacing w:val="-6"/>
                <w:sz w:val="24"/>
                <w:szCs w:val="24"/>
                <w:vertAlign w:val="superscript"/>
              </w:rPr>
              <w:t>2</w:t>
            </w:r>
            <w:r>
              <w:rPr>
                <w:rFonts w:hint="default" w:ascii="Times New Roman" w:hAnsi="Times New Roman" w:cs="Times New Roman"/>
                <w:spacing w:val="-6"/>
                <w:sz w:val="24"/>
                <w:szCs w:val="24"/>
              </w:rPr>
              <w:t>）</w:t>
            </w:r>
          </w:p>
        </w:tc>
        <w:tc>
          <w:tcPr>
            <w:tcW w:w="1460" w:type="pct"/>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专项评价设置</w:t>
            </w:r>
          </w:p>
          <w:p>
            <w:pPr>
              <w:autoSpaceDE w:val="0"/>
              <w:autoSpaceDN w:val="0"/>
              <w:adjustRightInd w:val="0"/>
              <w:snapToGrid w:val="0"/>
              <w:jc w:val="center"/>
              <w:rPr>
                <w:rFonts w:ascii="宋体" w:hAnsi="宋体" w:cs="宋体"/>
                <w:kern w:val="0"/>
                <w:sz w:val="24"/>
                <w:szCs w:val="24"/>
              </w:rPr>
            </w:pPr>
            <w:r>
              <w:rPr>
                <w:rFonts w:hint="eastAsia" w:ascii="宋体" w:hAnsi="宋体" w:cs="宋体"/>
                <w:kern w:val="0"/>
                <w:sz w:val="24"/>
                <w:szCs w:val="24"/>
              </w:rPr>
              <w:t>情况</w:t>
            </w:r>
          </w:p>
        </w:tc>
        <w:tc>
          <w:tcPr>
            <w:tcW w:w="3973" w:type="pct"/>
            <w:gridSpan w:val="3"/>
            <w:noWrap w:val="0"/>
            <w:vAlign w:val="center"/>
          </w:tcPr>
          <w:p>
            <w:pPr>
              <w:pStyle w:val="67"/>
            </w:pPr>
            <w:r>
              <w:rPr>
                <w:rFonts w:hint="eastAsia"/>
              </w:rPr>
              <w:t>表1-1 专项评价设置原则表</w:t>
            </w:r>
          </w:p>
          <w:tbl>
            <w:tblPr>
              <w:tblStyle w:val="27"/>
              <w:tblW w:w="4999" w:type="pct"/>
              <w:jc w:val="center"/>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2686"/>
              <w:gridCol w:w="1746"/>
              <w:gridCol w:w="1485"/>
            </w:tblGrid>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24" w:type="pct"/>
                  <w:vAlign w:val="center"/>
                </w:tcPr>
                <w:p>
                  <w:pPr>
                    <w:pStyle w:val="69"/>
                    <w:rPr>
                      <w:b/>
                      <w:bCs/>
                    </w:rPr>
                  </w:pPr>
                  <w:r>
                    <w:rPr>
                      <w:b/>
                      <w:bCs/>
                    </w:rPr>
                    <w:t>专项评价</w:t>
                  </w:r>
                </w:p>
                <w:p>
                  <w:pPr>
                    <w:pStyle w:val="69"/>
                    <w:rPr>
                      <w:b/>
                      <w:bCs/>
                    </w:rPr>
                  </w:pPr>
                  <w:r>
                    <w:rPr>
                      <w:b/>
                      <w:bCs/>
                    </w:rPr>
                    <w:t>类别</w:t>
                  </w:r>
                </w:p>
              </w:tc>
              <w:tc>
                <w:tcPr>
                  <w:tcW w:w="1805" w:type="pct"/>
                  <w:vAlign w:val="center"/>
                </w:tcPr>
                <w:p>
                  <w:pPr>
                    <w:pStyle w:val="69"/>
                    <w:rPr>
                      <w:b/>
                      <w:bCs/>
                    </w:rPr>
                  </w:pPr>
                  <w:r>
                    <w:rPr>
                      <w:b/>
                      <w:bCs/>
                    </w:rPr>
                    <w:t>设置原则</w:t>
                  </w:r>
                </w:p>
              </w:tc>
              <w:tc>
                <w:tcPr>
                  <w:tcW w:w="1173" w:type="pct"/>
                  <w:vAlign w:val="center"/>
                </w:tcPr>
                <w:p>
                  <w:pPr>
                    <w:pStyle w:val="69"/>
                    <w:rPr>
                      <w:b/>
                      <w:bCs/>
                    </w:rPr>
                  </w:pPr>
                  <w:r>
                    <w:rPr>
                      <w:rFonts w:hint="eastAsia"/>
                      <w:b/>
                      <w:bCs/>
                    </w:rPr>
                    <w:t>本项目</w:t>
                  </w:r>
                </w:p>
              </w:tc>
              <w:tc>
                <w:tcPr>
                  <w:tcW w:w="996" w:type="pct"/>
                  <w:vAlign w:val="center"/>
                </w:tcPr>
                <w:p>
                  <w:pPr>
                    <w:pStyle w:val="69"/>
                    <w:rPr>
                      <w:b/>
                      <w:bCs/>
                    </w:rPr>
                  </w:pPr>
                  <w:r>
                    <w:rPr>
                      <w:rFonts w:hint="eastAsia"/>
                      <w:b/>
                      <w:bCs/>
                    </w:rPr>
                    <w:t>是否需要设置专项评价</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4" w:type="pct"/>
                  <w:vAlign w:val="center"/>
                </w:tcPr>
                <w:p>
                  <w:pPr>
                    <w:pStyle w:val="69"/>
                  </w:pPr>
                  <w:r>
                    <w:t>大气</w:t>
                  </w:r>
                </w:p>
              </w:tc>
              <w:tc>
                <w:tcPr>
                  <w:tcW w:w="1805" w:type="pct"/>
                  <w:vAlign w:val="center"/>
                </w:tcPr>
                <w:p>
                  <w:pPr>
                    <w:pStyle w:val="69"/>
                  </w:pPr>
                  <w:r>
                    <w:t>排放废气含有有毒有害污染物、二噁英、苯并【</w:t>
                  </w:r>
                  <w:r>
                    <w:rPr>
                      <w:rFonts w:hint="eastAsia"/>
                    </w:rPr>
                    <w:t>a</w:t>
                  </w:r>
                  <w:r>
                    <w:t>】</w:t>
                  </w:r>
                  <w:r>
                    <w:rPr>
                      <w:rFonts w:hint="eastAsia"/>
                    </w:rPr>
                    <w:t>芘、氯气且厂界外500米范围内有环境空气保护目标的建设项目</w:t>
                  </w:r>
                </w:p>
              </w:tc>
              <w:tc>
                <w:tcPr>
                  <w:tcW w:w="1173" w:type="pct"/>
                  <w:vAlign w:val="center"/>
                </w:tcPr>
                <w:p>
                  <w:pPr>
                    <w:pStyle w:val="69"/>
                    <w:rPr>
                      <w:rFonts w:hint="eastAsia"/>
                    </w:rPr>
                  </w:pPr>
                  <w:r>
                    <w:rPr>
                      <w:rFonts w:hint="eastAsia"/>
                    </w:rPr>
                    <w:t>本项目</w:t>
                  </w:r>
                  <w:r>
                    <w:t>排放废气</w:t>
                  </w:r>
                  <w:r>
                    <w:rPr>
                      <w:rFonts w:hint="eastAsia"/>
                    </w:rPr>
                    <w:t>不</w:t>
                  </w:r>
                  <w:r>
                    <w:t>含有有毒有害污染物、二噁英、苯并【</w:t>
                  </w:r>
                  <w:r>
                    <w:rPr>
                      <w:rFonts w:hint="eastAsia"/>
                    </w:rPr>
                    <w:t>a</w:t>
                  </w:r>
                  <w:r>
                    <w:t>】</w:t>
                  </w:r>
                  <w:r>
                    <w:rPr>
                      <w:rFonts w:hint="eastAsia"/>
                    </w:rPr>
                    <w:t>芘、</w:t>
                  </w:r>
                </w:p>
                <w:p>
                  <w:pPr>
                    <w:pStyle w:val="69"/>
                  </w:pPr>
                  <w:r>
                    <w:rPr>
                      <w:rFonts w:hint="eastAsia"/>
                    </w:rPr>
                    <w:t>氯气</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PrEx>
              <w:trPr>
                <w:trHeight w:val="680" w:hRule="atLeast"/>
                <w:jc w:val="center"/>
              </w:trPr>
              <w:tc>
                <w:tcPr>
                  <w:tcW w:w="1024" w:type="pct"/>
                  <w:vAlign w:val="center"/>
                </w:tcPr>
                <w:p>
                  <w:pPr>
                    <w:pStyle w:val="69"/>
                  </w:pPr>
                  <w:r>
                    <w:t>地表水</w:t>
                  </w:r>
                </w:p>
              </w:tc>
              <w:tc>
                <w:tcPr>
                  <w:tcW w:w="1805" w:type="pct"/>
                  <w:vAlign w:val="center"/>
                </w:tcPr>
                <w:p>
                  <w:pPr>
                    <w:pStyle w:val="69"/>
                  </w:pPr>
                  <w:r>
                    <w:t>新增工业废水直排建设项目（槽罐车外送污水处理厂的除外）；新增废水直排的污水集中处理厂</w:t>
                  </w:r>
                </w:p>
              </w:tc>
              <w:tc>
                <w:tcPr>
                  <w:tcW w:w="1173" w:type="pct"/>
                  <w:vAlign w:val="center"/>
                </w:tcPr>
                <w:p>
                  <w:pPr>
                    <w:pStyle w:val="69"/>
                  </w:pPr>
                  <w:r>
                    <w:rPr>
                      <w:rFonts w:hint="eastAsia"/>
                    </w:rPr>
                    <w:t>本项目无</w:t>
                  </w:r>
                  <w:r>
                    <w:t>工业废水直排</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24" w:type="pct"/>
                  <w:vAlign w:val="center"/>
                </w:tcPr>
                <w:p>
                  <w:pPr>
                    <w:pStyle w:val="69"/>
                  </w:pPr>
                  <w:r>
                    <w:t>环境风险</w:t>
                  </w:r>
                </w:p>
              </w:tc>
              <w:tc>
                <w:tcPr>
                  <w:tcW w:w="1805" w:type="pct"/>
                  <w:vAlign w:val="center"/>
                </w:tcPr>
                <w:p>
                  <w:pPr>
                    <w:pStyle w:val="69"/>
                  </w:pPr>
                  <w:r>
                    <w:t>有毒有害和易燃易爆物质存储量超过临界量的建设项目</w:t>
                  </w:r>
                </w:p>
              </w:tc>
              <w:tc>
                <w:tcPr>
                  <w:tcW w:w="1173" w:type="pct"/>
                  <w:vAlign w:val="center"/>
                </w:tcPr>
                <w:p>
                  <w:pPr>
                    <w:pStyle w:val="69"/>
                  </w:pPr>
                  <w:r>
                    <w:t>有毒有害和易燃易爆物质存储量</w:t>
                  </w:r>
                  <w:r>
                    <w:rPr>
                      <w:rFonts w:hint="eastAsia"/>
                    </w:rPr>
                    <w:t>未</w:t>
                  </w:r>
                  <w:r>
                    <w:t>超过临界量</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4" w:type="pct"/>
                  <w:vAlign w:val="center"/>
                </w:tcPr>
                <w:p>
                  <w:pPr>
                    <w:pStyle w:val="69"/>
                  </w:pPr>
                  <w:r>
                    <w:t>生态</w:t>
                  </w:r>
                </w:p>
              </w:tc>
              <w:tc>
                <w:tcPr>
                  <w:tcW w:w="1805" w:type="pct"/>
                  <w:vAlign w:val="center"/>
                </w:tcPr>
                <w:p>
                  <w:pPr>
                    <w:pStyle w:val="69"/>
                  </w:pPr>
                  <w:r>
                    <w:t>取水口下游</w:t>
                  </w:r>
                  <w:r>
                    <w:rPr>
                      <w:rFonts w:hint="eastAsia"/>
                    </w:rPr>
                    <w:t>500m有重要的水生生物的自然产卵场、索饵场、越冬场和洄游通道的新增取水的污染类建设项目</w:t>
                  </w:r>
                </w:p>
              </w:tc>
              <w:tc>
                <w:tcPr>
                  <w:tcW w:w="1173" w:type="pct"/>
                  <w:vAlign w:val="center"/>
                </w:tcPr>
                <w:p>
                  <w:pPr>
                    <w:pStyle w:val="69"/>
                  </w:pPr>
                  <w:r>
                    <w:rPr>
                      <w:rFonts w:hint="eastAsia"/>
                    </w:rPr>
                    <w:t>无新增取水的污染类建设项目</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4" w:type="pct"/>
                  <w:vAlign w:val="center"/>
                </w:tcPr>
                <w:p>
                  <w:pPr>
                    <w:pStyle w:val="69"/>
                  </w:pPr>
                  <w:r>
                    <w:t>海洋</w:t>
                  </w:r>
                </w:p>
              </w:tc>
              <w:tc>
                <w:tcPr>
                  <w:tcW w:w="1805" w:type="pct"/>
                  <w:vAlign w:val="center"/>
                </w:tcPr>
                <w:p>
                  <w:pPr>
                    <w:pStyle w:val="69"/>
                  </w:pPr>
                  <w:r>
                    <w:t>直接向海排放污染物的海洋工程建设项目</w:t>
                  </w:r>
                </w:p>
              </w:tc>
              <w:tc>
                <w:tcPr>
                  <w:tcW w:w="1173" w:type="pct"/>
                  <w:vAlign w:val="center"/>
                </w:tcPr>
                <w:p>
                  <w:pPr>
                    <w:pStyle w:val="69"/>
                  </w:pPr>
                  <w:r>
                    <w:rPr>
                      <w:rFonts w:hint="eastAsia"/>
                    </w:rPr>
                    <w:t>本项目不属于</w:t>
                  </w:r>
                  <w:r>
                    <w:t>直接向海排放污染物的海洋工程建设项目</w:t>
                  </w:r>
                </w:p>
              </w:tc>
              <w:tc>
                <w:tcPr>
                  <w:tcW w:w="996" w:type="pct"/>
                  <w:vAlign w:val="center"/>
                </w:tcPr>
                <w:p>
                  <w:pPr>
                    <w:pStyle w:val="69"/>
                  </w:pPr>
                  <w:r>
                    <w:rPr>
                      <w:rFonts w:hint="eastAsia"/>
                    </w:rPr>
                    <w:t>否</w:t>
                  </w:r>
                </w:p>
              </w:tc>
            </w:tr>
            <w:tr>
              <w:tblPrEx>
                <w:tblBorders>
                  <w:top w:val="thinThickSmallGap" w:color="auto" w:sz="12" w:space="0"/>
                  <w:left w:val="none" w:color="auto" w:sz="0" w:space="0"/>
                  <w:bottom w:val="thinThickMedium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00" w:type="pct"/>
                  <w:gridSpan w:val="4"/>
                  <w:vAlign w:val="center"/>
                </w:tcPr>
                <w:p>
                  <w:pPr>
                    <w:pStyle w:val="69"/>
                    <w:ind w:left="361" w:hanging="361" w:hangingChars="200"/>
                    <w:jc w:val="left"/>
                    <w:rPr>
                      <w:rFonts w:hint="eastAsia"/>
                      <w:b/>
                      <w:bCs/>
                    </w:rPr>
                  </w:pPr>
                  <w:r>
                    <w:rPr>
                      <w:b/>
                      <w:bCs/>
                      <w:sz w:val="18"/>
                      <w:szCs w:val="18"/>
                    </w:rPr>
                    <w:t>注：1.废气中有毒有害污染物指纳入《有毒有害大气污染物名录》的污染物（不包括无排放标准的污染物）。</w:t>
                  </w:r>
                  <w:r>
                    <w:rPr>
                      <w:rFonts w:hint="eastAsia"/>
                      <w:b/>
                      <w:bCs/>
                      <w:sz w:val="18"/>
                      <w:szCs w:val="18"/>
                      <w:lang w:val="en-US" w:eastAsia="zh-CN"/>
                    </w:rPr>
                    <w:t>2.</w:t>
                  </w:r>
                  <w:r>
                    <w:rPr>
                      <w:b/>
                      <w:bCs/>
                      <w:sz w:val="18"/>
                      <w:szCs w:val="18"/>
                    </w:rPr>
                    <w:t>环境空气保护目标指自然保护区、风景名胜区、居住区、文化区和农村地区中人群较集中的区域。</w:t>
                  </w:r>
                  <w:r>
                    <w:rPr>
                      <w:rFonts w:hint="eastAsia"/>
                      <w:b/>
                      <w:bCs/>
                      <w:sz w:val="18"/>
                      <w:szCs w:val="18"/>
                      <w:lang w:val="en-US" w:eastAsia="zh-CN"/>
                    </w:rPr>
                    <w:t>3.</w:t>
                  </w:r>
                  <w:r>
                    <w:rPr>
                      <w:b/>
                      <w:bCs/>
                      <w:sz w:val="18"/>
                      <w:szCs w:val="18"/>
                    </w:rPr>
                    <w:t>临界量及其计算方法可参考《建设项目环境风险评价技术导则》（HJ 169）附录B、附录C。</w:t>
                  </w:r>
                </w:p>
              </w:tc>
            </w:tr>
          </w:tbl>
          <w:p>
            <w:pPr>
              <w:pStyle w:val="26"/>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textAlignment w:val="auto"/>
              <w:rPr>
                <w:rFonts w:hint="eastAsia"/>
                <w:lang w:eastAsia="zh-CN"/>
              </w:rPr>
            </w:pPr>
            <w:r>
              <w:rPr>
                <w:rFonts w:hint="default" w:ascii="Times New Roman" w:hAnsi="Times New Roman" w:eastAsia="宋体" w:cs="Times New Roman"/>
                <w:color w:val="000000"/>
                <w:sz w:val="24"/>
                <w:szCs w:val="24"/>
              </w:rPr>
              <w:t>依据《建设项目环境影响报告表编制技术指南-污染影响类》专项评价设置原则，本项目无需进行专项评价。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sz w:val="24"/>
                <w:szCs w:val="24"/>
              </w:rPr>
              <w:t>规划情况</w:t>
            </w:r>
          </w:p>
        </w:tc>
        <w:tc>
          <w:tcPr>
            <w:tcW w:w="3973" w:type="pct"/>
            <w:gridSpan w:val="3"/>
            <w:noWrap w:val="0"/>
            <w:vAlign w:val="center"/>
          </w:tcPr>
          <w:p>
            <w:pPr>
              <w:spacing w:line="360" w:lineRule="auto"/>
              <w:ind w:firstLine="480" w:firstLineChars="200"/>
              <w:jc w:val="left"/>
              <w:rPr>
                <w:rFonts w:hint="eastAsia" w:ascii="宋体" w:hAnsi="宋体" w:eastAsia="宋体" w:cs="宋体"/>
                <w:color w:val="FF0000"/>
                <w:kern w:val="0"/>
                <w:sz w:val="24"/>
                <w:szCs w:val="24"/>
                <w:lang w:val="en-US" w:eastAsia="zh-CN"/>
              </w:rPr>
            </w:pPr>
            <w:r>
              <w:rPr>
                <w:rFonts w:hint="eastAsia"/>
                <w:color w:val="FF0000"/>
                <w:kern w:val="0"/>
                <w:sz w:val="24"/>
              </w:rPr>
              <w:t>《上饶经济技术开发区总体发展规划（2013-2030）》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djustRightInd w:val="0"/>
              <w:snapToGrid w:val="0"/>
              <w:jc w:val="center"/>
              <w:rPr>
                <w:rFonts w:ascii="宋体" w:hAnsi="宋体" w:cs="宋体"/>
                <w:sz w:val="24"/>
                <w:szCs w:val="24"/>
              </w:rPr>
            </w:pPr>
            <w:r>
              <w:rPr>
                <w:rFonts w:hint="eastAsia" w:ascii="宋体" w:hAnsi="宋体" w:cs="宋体"/>
                <w:sz w:val="24"/>
                <w:szCs w:val="24"/>
              </w:rPr>
              <w:t>规划环境影响</w:t>
            </w:r>
          </w:p>
          <w:p>
            <w:pPr>
              <w:adjustRightInd w:val="0"/>
              <w:snapToGrid w:val="0"/>
              <w:jc w:val="center"/>
              <w:rPr>
                <w:rFonts w:hint="eastAsia" w:ascii="宋体" w:hAnsi="宋体" w:cs="宋体"/>
                <w:kern w:val="0"/>
                <w:sz w:val="24"/>
                <w:szCs w:val="24"/>
              </w:rPr>
            </w:pPr>
            <w:r>
              <w:rPr>
                <w:rFonts w:hint="eastAsia" w:ascii="宋体" w:hAnsi="宋体" w:cs="宋体"/>
                <w:sz w:val="24"/>
                <w:szCs w:val="24"/>
              </w:rPr>
              <w:t>评价情况</w:t>
            </w:r>
          </w:p>
        </w:tc>
        <w:tc>
          <w:tcPr>
            <w:tcW w:w="3973" w:type="pct"/>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olor w:val="FF0000"/>
                <w:kern w:val="0"/>
                <w:sz w:val="24"/>
              </w:rPr>
            </w:pPr>
            <w:r>
              <w:rPr>
                <w:rFonts w:hint="default"/>
                <w:color w:val="FF0000"/>
                <w:kern w:val="0"/>
                <w:sz w:val="24"/>
                <w:lang w:eastAsia="zh-CN"/>
              </w:rPr>
              <w:t>规划名称</w:t>
            </w:r>
            <w:r>
              <w:rPr>
                <w:rFonts w:hint="eastAsia"/>
                <w:color w:val="FF0000"/>
                <w:kern w:val="0"/>
                <w:sz w:val="24"/>
                <w:lang w:eastAsia="zh-CN"/>
              </w:rPr>
              <w:t>：</w:t>
            </w:r>
            <w:r>
              <w:rPr>
                <w:rFonts w:hint="eastAsia"/>
                <w:color w:val="FF0000"/>
                <w:kern w:val="0"/>
                <w:sz w:val="24"/>
              </w:rPr>
              <w:t>《上饶经济技术开发区总体发展规划环境影响报告书》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color w:val="FF0000"/>
                <w:kern w:val="0"/>
                <w:sz w:val="24"/>
                <w:lang w:eastAsia="zh-CN"/>
              </w:rPr>
            </w:pPr>
            <w:r>
              <w:rPr>
                <w:rFonts w:hint="default"/>
                <w:color w:val="FF0000"/>
                <w:kern w:val="0"/>
                <w:sz w:val="24"/>
                <w:lang w:eastAsia="zh-CN"/>
              </w:rPr>
              <w:t>审批机关：</w:t>
            </w:r>
            <w:r>
              <w:rPr>
                <w:rFonts w:hint="eastAsia"/>
                <w:color w:val="FF0000"/>
                <w:kern w:val="0"/>
                <w:sz w:val="24"/>
                <w:lang w:eastAsia="zh-CN"/>
              </w:rPr>
              <w:t>中华人民共和国生态环境部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color w:val="FF0000"/>
                <w:kern w:val="0"/>
                <w:sz w:val="24"/>
                <w:szCs w:val="24"/>
                <w:lang w:eastAsia="zh-CN"/>
              </w:rPr>
            </w:pPr>
            <w:r>
              <w:rPr>
                <w:rFonts w:hint="default"/>
                <w:color w:val="FF0000"/>
                <w:kern w:val="0"/>
                <w:sz w:val="24"/>
                <w:lang w:eastAsia="zh-CN"/>
              </w:rPr>
              <w:t>批复文号：</w:t>
            </w:r>
            <w:r>
              <w:rPr>
                <w:rFonts w:hint="eastAsia"/>
                <w:color w:val="FF0000"/>
                <w:kern w:val="0"/>
                <w:sz w:val="24"/>
              </w:rPr>
              <w:t>环审[2019]147号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规划及规划环境</w:t>
            </w:r>
          </w:p>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影响评价符合性</w:t>
            </w:r>
          </w:p>
          <w:p>
            <w:pPr>
              <w:autoSpaceDE w:val="0"/>
              <w:autoSpaceDN w:val="0"/>
              <w:adjustRightInd w:val="0"/>
              <w:snapToGrid w:val="0"/>
              <w:jc w:val="center"/>
              <w:rPr>
                <w:rFonts w:ascii="宋体" w:hAnsi="宋体" w:cs="宋体"/>
                <w:kern w:val="0"/>
                <w:sz w:val="24"/>
                <w:szCs w:val="24"/>
              </w:rPr>
            </w:pPr>
            <w:r>
              <w:rPr>
                <w:rFonts w:hint="eastAsia" w:ascii="宋体" w:hAnsi="宋体" w:cs="宋体"/>
                <w:kern w:val="0"/>
                <w:sz w:val="24"/>
                <w:szCs w:val="24"/>
              </w:rPr>
              <w:t>分析</w:t>
            </w:r>
          </w:p>
        </w:tc>
        <w:tc>
          <w:tcPr>
            <w:tcW w:w="3973" w:type="pct"/>
            <w:gridSpan w:val="3"/>
            <w:noWrap w:val="0"/>
            <w:vAlign w:val="center"/>
          </w:tcPr>
          <w:p>
            <w:pPr>
              <w:pStyle w:val="178"/>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产业定位</w:t>
            </w:r>
          </w:p>
          <w:p>
            <w:pPr>
              <w:pStyle w:val="180"/>
              <w:spacing w:line="360" w:lineRule="auto"/>
              <w:ind w:firstLine="480"/>
              <w:jc w:val="left"/>
              <w:rPr>
                <w:sz w:val="24"/>
                <w:szCs w:val="24"/>
              </w:rPr>
            </w:pPr>
            <w:r>
              <w:rPr>
                <w:sz w:val="24"/>
                <w:szCs w:val="24"/>
              </w:rPr>
              <w:t>上饶国家经济技术开发区的产业功能定位为：</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1）</w:t>
            </w:r>
            <w:r>
              <w:rPr>
                <w:sz w:val="24"/>
                <w:szCs w:val="24"/>
              </w:rPr>
              <w:t>省域现代产业集群基地——形成光伏（新能源）、光学、机械电子、新材料、装备制造产业集群为主导的先进制造业基地。</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2）</w:t>
            </w:r>
            <w:r>
              <w:rPr>
                <w:sz w:val="24"/>
                <w:szCs w:val="24"/>
              </w:rPr>
              <w:t>省域科技创新基地——基于主导制造业产业集群，与高校、研究机构建立产业科研合作关系，深化科技应用水平，提升自主创新能力，成为产学研融合示范区。</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3）</w:t>
            </w:r>
            <w:r>
              <w:rPr>
                <w:sz w:val="24"/>
                <w:szCs w:val="24"/>
              </w:rPr>
              <w:t>中部地区重要的物流基地——对接长三角、闽三角物流体系，充分利用无水港、航空运输、高速公路和铁路运输的交通优势，建设综合型物流园，辐射江西东部乃至闽浙赣皖四省交汇区域。</w:t>
            </w:r>
          </w:p>
          <w:p>
            <w:pPr>
              <w:pStyle w:val="180"/>
              <w:spacing w:line="360" w:lineRule="auto"/>
              <w:ind w:firstLine="480"/>
              <w:jc w:val="left"/>
              <w:rPr>
                <w:sz w:val="24"/>
                <w:szCs w:val="24"/>
              </w:rPr>
            </w:pPr>
            <w:r>
              <w:rPr>
                <w:rFonts w:hint="eastAsia"/>
                <w:sz w:val="24"/>
                <w:szCs w:val="24"/>
                <w:lang w:val="en-US" w:eastAsia="zh-CN"/>
              </w:rPr>
              <w:t>（4）</w:t>
            </w:r>
            <w:r>
              <w:rPr>
                <w:sz w:val="24"/>
                <w:szCs w:val="24"/>
              </w:rPr>
              <w:t>上饶市区现代服务副中心——以服务制造业发展为目标，引导发展金融保险、电子商务等相关生产性服务业；以职住平衡为目标，配套高品质生活性服务业，将其打造成为上饶市区现代服务副中心。</w:t>
            </w:r>
          </w:p>
          <w:p>
            <w:pPr>
              <w:pStyle w:val="70"/>
              <w:bidi w:val="0"/>
              <w:rPr>
                <w:rFonts w:ascii="Times New Roman" w:hAnsi="Times New Roman" w:eastAsia="宋体" w:cs="宋体"/>
                <w:color w:val="auto"/>
              </w:rPr>
            </w:pPr>
            <w:r>
              <w:rPr>
                <w:rFonts w:hint="eastAsia" w:ascii="Times New Roman" w:hAnsi="Times New Roman" w:eastAsia="宋体" w:cs="Times New Roman"/>
                <w:sz w:val="24"/>
                <w:szCs w:val="24"/>
                <w:lang w:val="en-US" w:eastAsia="zh-CN"/>
              </w:rPr>
              <w:t>项目属于光学产业，符合开发区产业功能定位</w:t>
            </w:r>
            <w:r>
              <w:rPr>
                <w:rFonts w:ascii="Times New Roman" w:hAnsi="Times New Roman" w:eastAsia="宋体" w:cs="宋体"/>
                <w:color w:val="auto"/>
              </w:rPr>
              <w:t>。</w:t>
            </w:r>
          </w:p>
          <w:p>
            <w:pPr>
              <w:pStyle w:val="178"/>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产业选择</w:t>
            </w:r>
          </w:p>
          <w:p>
            <w:pPr>
              <w:pStyle w:val="180"/>
              <w:spacing w:line="360" w:lineRule="auto"/>
              <w:ind w:firstLine="480"/>
              <w:jc w:val="left"/>
              <w:rPr>
                <w:sz w:val="24"/>
                <w:szCs w:val="24"/>
              </w:rPr>
            </w:pPr>
            <w:r>
              <w:rPr>
                <w:rFonts w:hint="eastAsia"/>
                <w:sz w:val="24"/>
                <w:szCs w:val="24"/>
              </w:rPr>
              <w:t>（</w:t>
            </w:r>
            <w:r>
              <w:rPr>
                <w:sz w:val="24"/>
                <w:szCs w:val="24"/>
              </w:rPr>
              <w:t>1</w:t>
            </w:r>
            <w:r>
              <w:rPr>
                <w:rFonts w:hint="eastAsia"/>
                <w:sz w:val="24"/>
                <w:szCs w:val="24"/>
              </w:rPr>
              <w:t>）产业选择原则</w:t>
            </w:r>
          </w:p>
          <w:p>
            <w:pPr>
              <w:pStyle w:val="180"/>
              <w:spacing w:line="360" w:lineRule="auto"/>
              <w:ind w:firstLine="480"/>
              <w:jc w:val="left"/>
              <w:rPr>
                <w:sz w:val="24"/>
                <w:szCs w:val="24"/>
              </w:rPr>
            </w:pPr>
            <w:r>
              <w:rPr>
                <w:rFonts w:hint="eastAsia"/>
                <w:sz w:val="24"/>
                <w:szCs w:val="24"/>
                <w:lang w:val="en-US" w:eastAsia="zh-CN"/>
              </w:rPr>
              <w:t>A、</w:t>
            </w:r>
            <w:r>
              <w:rPr>
                <w:rFonts w:hint="eastAsia"/>
                <w:sz w:val="24"/>
                <w:szCs w:val="24"/>
              </w:rPr>
              <w:t>因地制宜</w:t>
            </w:r>
          </w:p>
          <w:p>
            <w:pPr>
              <w:pStyle w:val="180"/>
              <w:spacing w:line="360" w:lineRule="auto"/>
              <w:ind w:firstLine="480"/>
              <w:jc w:val="left"/>
              <w:rPr>
                <w:sz w:val="24"/>
                <w:szCs w:val="24"/>
              </w:rPr>
            </w:pPr>
            <w:r>
              <w:rPr>
                <w:rFonts w:hint="eastAsia"/>
                <w:sz w:val="24"/>
                <w:szCs w:val="24"/>
              </w:rPr>
              <w:t>产业选择需要立足基础，因地制宜，与当地的资源禀赋优势相统一。上饶经济技术开发区应当立足中部，依托上饶优越的“海（无水港）陆空”多式联运的交通优势，较为丰富的土地资源条件，发展“先进制造和高新技术”型产业，将上饶的矿产、农产品等自然资源进行精深利用。</w:t>
            </w:r>
          </w:p>
          <w:p>
            <w:pPr>
              <w:pStyle w:val="180"/>
              <w:spacing w:line="360" w:lineRule="auto"/>
              <w:ind w:firstLine="480"/>
              <w:jc w:val="left"/>
              <w:rPr>
                <w:sz w:val="24"/>
                <w:szCs w:val="24"/>
              </w:rPr>
            </w:pPr>
            <w:r>
              <w:rPr>
                <w:rFonts w:hint="eastAsia"/>
                <w:sz w:val="24"/>
                <w:szCs w:val="24"/>
                <w:lang w:val="en-US" w:eastAsia="zh-CN"/>
              </w:rPr>
              <w:t>B、</w:t>
            </w:r>
            <w:r>
              <w:rPr>
                <w:rFonts w:hint="eastAsia"/>
                <w:sz w:val="24"/>
                <w:szCs w:val="24"/>
              </w:rPr>
              <w:t>门槛准入</w:t>
            </w:r>
          </w:p>
          <w:p>
            <w:pPr>
              <w:pStyle w:val="180"/>
              <w:spacing w:line="360" w:lineRule="auto"/>
              <w:ind w:firstLine="480"/>
              <w:jc w:val="left"/>
              <w:rPr>
                <w:sz w:val="24"/>
                <w:szCs w:val="24"/>
              </w:rPr>
            </w:pPr>
            <w:r>
              <w:rPr>
                <w:rFonts w:hint="eastAsia"/>
                <w:sz w:val="24"/>
                <w:szCs w:val="24"/>
              </w:rPr>
              <w:t>在整个长三角经济区和海西经济区已经进入经济转型发展期的宏观背景下，此时的上饶经济技术开发区面临沿海产业转移的大好形势，上饶也先后被国家商务部授予“国家加工贸易梯度转移承接基地”、被国台办和省政府联合授予“台资企业转移承接地”，连续</w:t>
            </w:r>
            <w:r>
              <w:rPr>
                <w:sz w:val="24"/>
                <w:szCs w:val="24"/>
              </w:rPr>
              <w:t>5</w:t>
            </w:r>
            <w:r>
              <w:rPr>
                <w:rFonts w:hint="eastAsia"/>
                <w:sz w:val="24"/>
                <w:szCs w:val="24"/>
              </w:rPr>
              <w:t>年被评选为“浙商（省外）最佳投资城市”，并获“跨国公司眼中最具投资潜力城市”荣誉称号，承接东部海内外产业梯度转移的吸引力进一步增强。在利好的形势下，上饶经济技术开发区无疑成为投资的热土，但是开发区必须认清形势，吸取东部沿海地区的发展教训</w:t>
            </w:r>
            <w:r>
              <w:rPr>
                <w:rFonts w:hint="eastAsia"/>
                <w:spacing w:val="-32"/>
                <w:sz w:val="24"/>
                <w:szCs w:val="24"/>
              </w:rPr>
              <w:t>，</w:t>
            </w:r>
            <w:r>
              <w:rPr>
                <w:rFonts w:hint="eastAsia"/>
                <w:sz w:val="24"/>
                <w:szCs w:val="24"/>
              </w:rPr>
              <w:t>不能表现</w:t>
            </w:r>
            <w:r>
              <w:rPr>
                <w:rFonts w:hint="eastAsia"/>
                <w:spacing w:val="-32"/>
                <w:sz w:val="24"/>
                <w:szCs w:val="24"/>
              </w:rPr>
              <w:t>出</w:t>
            </w:r>
            <w:r>
              <w:rPr>
                <w:rFonts w:hint="eastAsia"/>
                <w:sz w:val="24"/>
                <w:szCs w:val="24"/>
              </w:rPr>
              <w:t>“产业饥渴症”现象，而是应当选择适合自身发展的产业。</w:t>
            </w:r>
          </w:p>
          <w:p>
            <w:pPr>
              <w:pStyle w:val="180"/>
              <w:spacing w:line="360" w:lineRule="auto"/>
              <w:ind w:firstLine="480"/>
              <w:jc w:val="left"/>
              <w:rPr>
                <w:sz w:val="24"/>
                <w:szCs w:val="24"/>
              </w:rPr>
            </w:pPr>
            <w:r>
              <w:rPr>
                <w:rFonts w:hint="eastAsia"/>
                <w:sz w:val="24"/>
                <w:szCs w:val="24"/>
                <w:lang w:val="en-US" w:eastAsia="zh-CN"/>
              </w:rPr>
              <w:t>C、</w:t>
            </w:r>
            <w:r>
              <w:rPr>
                <w:rFonts w:hint="eastAsia"/>
                <w:sz w:val="24"/>
                <w:szCs w:val="24"/>
              </w:rPr>
              <w:t>呼应形势</w:t>
            </w:r>
          </w:p>
          <w:p>
            <w:pPr>
              <w:pStyle w:val="180"/>
              <w:spacing w:line="360" w:lineRule="auto"/>
              <w:ind w:firstLine="480"/>
              <w:jc w:val="left"/>
              <w:rPr>
                <w:sz w:val="24"/>
                <w:szCs w:val="24"/>
              </w:rPr>
            </w:pPr>
            <w:r>
              <w:rPr>
                <w:rFonts w:hint="eastAsia"/>
                <w:sz w:val="24"/>
                <w:szCs w:val="24"/>
              </w:rPr>
              <w:t>每次全球性重大经济危机孕育新的产业技术革命，未来</w:t>
            </w:r>
            <w:r>
              <w:rPr>
                <w:sz w:val="24"/>
                <w:szCs w:val="24"/>
              </w:rPr>
              <w:t>20</w:t>
            </w:r>
            <w:r>
              <w:rPr>
                <w:rFonts w:hint="eastAsia"/>
                <w:sz w:val="24"/>
                <w:szCs w:val="24"/>
              </w:rPr>
              <w:t>年，继电子信息产业后，新材料、新能源、生物医药等新兴战略产业成为全球产业发展的主导力量。</w:t>
            </w:r>
            <w:r>
              <w:rPr>
                <w:sz w:val="24"/>
                <w:szCs w:val="24"/>
              </w:rPr>
              <w:t>2008</w:t>
            </w:r>
            <w:r>
              <w:rPr>
                <w:rFonts w:hint="eastAsia"/>
                <w:sz w:val="24"/>
                <w:szCs w:val="24"/>
              </w:rPr>
              <w:t>年全球金融危机是自</w:t>
            </w:r>
            <w:r>
              <w:rPr>
                <w:sz w:val="24"/>
                <w:szCs w:val="24"/>
              </w:rPr>
              <w:t>1929</w:t>
            </w:r>
            <w:r>
              <w:rPr>
                <w:rFonts w:hint="eastAsia"/>
                <w:sz w:val="24"/>
                <w:szCs w:val="24"/>
              </w:rPr>
              <w:t>年以来最严重的金融危机，成为孕育第四次产业革命的绝佳时期。对上饶经济技术开发区而言，产业的发展不仅要立足自身，还应当紧跟形势，在全球生态、低碳发展理念引导下，紧跟我国改变发展方式，加快产业结构调整的步伐，积极参与世界第四次产业革命，发展新兴战略产业，为其发展搭建平台。</w:t>
            </w:r>
          </w:p>
          <w:p>
            <w:pPr>
              <w:pStyle w:val="180"/>
              <w:spacing w:line="360" w:lineRule="auto"/>
              <w:ind w:firstLine="480"/>
              <w:jc w:val="left"/>
              <w:rPr>
                <w:sz w:val="24"/>
                <w:szCs w:val="24"/>
              </w:rPr>
            </w:pPr>
            <w:r>
              <w:rPr>
                <w:rFonts w:hint="eastAsia"/>
                <w:sz w:val="24"/>
                <w:szCs w:val="24"/>
                <w:lang w:val="en-US" w:eastAsia="zh-CN"/>
              </w:rPr>
              <w:t>D、</w:t>
            </w:r>
            <w:r>
              <w:rPr>
                <w:rFonts w:hint="eastAsia"/>
                <w:sz w:val="24"/>
                <w:szCs w:val="24"/>
              </w:rPr>
              <w:t>有机合作</w:t>
            </w:r>
          </w:p>
          <w:p>
            <w:pPr>
              <w:pStyle w:val="180"/>
              <w:spacing w:line="360" w:lineRule="auto"/>
              <w:ind w:firstLine="480"/>
              <w:jc w:val="left"/>
              <w:rPr>
                <w:sz w:val="24"/>
                <w:szCs w:val="24"/>
              </w:rPr>
            </w:pPr>
            <w:r>
              <w:rPr>
                <w:rFonts w:hint="eastAsia"/>
                <w:sz w:val="24"/>
                <w:szCs w:val="24"/>
              </w:rPr>
              <w:t>按照区域产业合理分工、促进产业集聚发展的原则，上饶经济技术开发区的产业选择要考虑到与周边地区（主要为上饶主城及周边县城）的协调，实现优势互补和错位发展，体现自身资源优势和产业特色。同时，在上饶经济技术开发区内部，要整合产业链，促进与优势产业相配套的上下游产业发展，实现本地区内部的有机协作。</w:t>
            </w:r>
          </w:p>
          <w:p>
            <w:pPr>
              <w:pStyle w:val="180"/>
              <w:spacing w:line="360" w:lineRule="auto"/>
              <w:ind w:firstLine="480"/>
              <w:jc w:val="left"/>
              <w:rPr>
                <w:sz w:val="24"/>
                <w:szCs w:val="24"/>
              </w:rPr>
            </w:pPr>
            <w:r>
              <w:rPr>
                <w:rFonts w:hint="eastAsia"/>
                <w:sz w:val="24"/>
                <w:szCs w:val="24"/>
                <w:lang w:eastAsia="zh-CN"/>
              </w:rPr>
              <w:t>（</w:t>
            </w:r>
            <w:r>
              <w:rPr>
                <w:rFonts w:hint="eastAsia"/>
                <w:sz w:val="24"/>
                <w:szCs w:val="24"/>
                <w:lang w:val="en-US" w:eastAsia="zh-CN"/>
              </w:rPr>
              <w:t>2）</w:t>
            </w:r>
            <w:r>
              <w:rPr>
                <w:rFonts w:hint="eastAsia"/>
                <w:sz w:val="24"/>
                <w:szCs w:val="24"/>
              </w:rPr>
              <w:t>产业选择</w:t>
            </w:r>
          </w:p>
          <w:p>
            <w:pPr>
              <w:pStyle w:val="180"/>
              <w:spacing w:line="360" w:lineRule="auto"/>
              <w:ind w:firstLine="480"/>
              <w:jc w:val="left"/>
              <w:rPr>
                <w:sz w:val="24"/>
                <w:szCs w:val="24"/>
              </w:rPr>
            </w:pPr>
            <w:r>
              <w:rPr>
                <w:rFonts w:hint="eastAsia"/>
                <w:sz w:val="24"/>
                <w:szCs w:val="24"/>
                <w:lang w:val="en-US" w:eastAsia="zh-CN"/>
              </w:rPr>
              <w:t>A、</w:t>
            </w:r>
            <w:r>
              <w:rPr>
                <w:sz w:val="24"/>
                <w:szCs w:val="24"/>
              </w:rPr>
              <w:t>升级优势制造业</w:t>
            </w:r>
          </w:p>
          <w:p>
            <w:pPr>
              <w:pStyle w:val="180"/>
              <w:spacing w:line="360" w:lineRule="auto"/>
              <w:ind w:firstLine="480"/>
              <w:jc w:val="left"/>
              <w:rPr>
                <w:sz w:val="24"/>
                <w:szCs w:val="24"/>
              </w:rPr>
            </w:pPr>
            <w:r>
              <w:rPr>
                <w:sz w:val="24"/>
                <w:szCs w:val="24"/>
              </w:rPr>
              <w:t>经济技术开发区内的这类优势产业包括光伏、光学、机械电子等产业，应当增加这类制造业的技术含量，提升制造业的附加值，做强特色和优势产业的竞争力，带动整体产业的转型发展与质量提升。</w:t>
            </w:r>
          </w:p>
          <w:p>
            <w:pPr>
              <w:pStyle w:val="180"/>
              <w:spacing w:line="360" w:lineRule="auto"/>
              <w:ind w:firstLine="480"/>
              <w:jc w:val="left"/>
              <w:rPr>
                <w:sz w:val="24"/>
                <w:szCs w:val="24"/>
              </w:rPr>
            </w:pPr>
            <w:r>
              <w:rPr>
                <w:rFonts w:hint="eastAsia"/>
                <w:sz w:val="24"/>
                <w:szCs w:val="24"/>
                <w:lang w:val="en-US" w:eastAsia="zh-CN"/>
              </w:rPr>
              <w:t>B、</w:t>
            </w:r>
            <w:r>
              <w:rPr>
                <w:sz w:val="24"/>
                <w:szCs w:val="24"/>
              </w:rPr>
              <w:t>衍生新兴制造业</w:t>
            </w:r>
          </w:p>
          <w:p>
            <w:pPr>
              <w:pStyle w:val="180"/>
              <w:spacing w:line="360" w:lineRule="auto"/>
              <w:ind w:firstLine="480"/>
              <w:jc w:val="left"/>
              <w:rPr>
                <w:sz w:val="24"/>
                <w:szCs w:val="24"/>
              </w:rPr>
            </w:pPr>
            <w:r>
              <w:rPr>
                <w:sz w:val="24"/>
                <w:szCs w:val="24"/>
              </w:rPr>
              <w:t>衍生是通过现有资源和产业基础，来发展相关联的产业。从区域来看，上饶地区的金属矿产和非金属矿产丰富，开发区的光学光伏产业是国家级高新技术产业基地，开发区应当依托这些基础和优势发展矿产、机械等装备制造业和以非金属材料、光学材料和新型建材为代表的新材料。</w:t>
            </w:r>
          </w:p>
          <w:p>
            <w:pPr>
              <w:pStyle w:val="180"/>
              <w:spacing w:line="360" w:lineRule="auto"/>
              <w:ind w:firstLine="480"/>
              <w:jc w:val="left"/>
              <w:rPr>
                <w:sz w:val="24"/>
                <w:szCs w:val="24"/>
              </w:rPr>
            </w:pPr>
            <w:r>
              <w:rPr>
                <w:rFonts w:hint="eastAsia"/>
                <w:sz w:val="24"/>
                <w:szCs w:val="24"/>
                <w:lang w:val="en-US" w:eastAsia="zh-CN"/>
              </w:rPr>
              <w:t>C、</w:t>
            </w:r>
            <w:r>
              <w:rPr>
                <w:sz w:val="24"/>
                <w:szCs w:val="24"/>
              </w:rPr>
              <w:t xml:space="preserve">导入生产服务业 </w:t>
            </w:r>
          </w:p>
          <w:p>
            <w:pPr>
              <w:pStyle w:val="180"/>
              <w:spacing w:line="360" w:lineRule="auto"/>
              <w:ind w:firstLine="480"/>
              <w:jc w:val="left"/>
              <w:rPr>
                <w:sz w:val="24"/>
                <w:szCs w:val="24"/>
              </w:rPr>
            </w:pPr>
            <w:r>
              <w:rPr>
                <w:sz w:val="24"/>
                <w:szCs w:val="24"/>
              </w:rPr>
              <w:t>升级优势产业必须提升技术含量，针对现状研发不足的现实，有计划培育科研、创新、孵化等功能，并发展测试功能，评估高新技术转化为生产力的可能性。经济技术开发区可围绕这些生产性服务业建立科技研发子平台、创新孵化子平台、人才教育子平台和测试评估子平台。</w:t>
            </w:r>
          </w:p>
          <w:p>
            <w:pPr>
              <w:pStyle w:val="180"/>
              <w:spacing w:line="360" w:lineRule="auto"/>
              <w:ind w:firstLine="480"/>
              <w:jc w:val="left"/>
              <w:rPr>
                <w:sz w:val="24"/>
                <w:szCs w:val="24"/>
              </w:rPr>
            </w:pPr>
            <w:r>
              <w:rPr>
                <w:rFonts w:hint="eastAsia"/>
                <w:sz w:val="24"/>
                <w:szCs w:val="24"/>
                <w:lang w:val="en-US" w:eastAsia="zh-CN"/>
              </w:rPr>
              <w:t>D、</w:t>
            </w:r>
            <w:r>
              <w:rPr>
                <w:sz w:val="24"/>
                <w:szCs w:val="24"/>
              </w:rPr>
              <w:t xml:space="preserve">完善生活配套业 </w:t>
            </w:r>
          </w:p>
          <w:p>
            <w:pPr>
              <w:pStyle w:val="180"/>
              <w:spacing w:line="360" w:lineRule="auto"/>
              <w:ind w:firstLine="480"/>
              <w:jc w:val="left"/>
              <w:rPr>
                <w:sz w:val="24"/>
                <w:szCs w:val="24"/>
              </w:rPr>
            </w:pPr>
            <w:r>
              <w:rPr>
                <w:sz w:val="24"/>
                <w:szCs w:val="24"/>
              </w:rPr>
              <w:t>经济技术开发区作为综合性的生态宜居新城，直接面向人们提供物质和精神生活消费产品及服务</w:t>
            </w:r>
            <w:r>
              <w:rPr>
                <w:rFonts w:hint="eastAsia"/>
                <w:sz w:val="24"/>
                <w:szCs w:val="24"/>
              </w:rPr>
              <w:t>，</w:t>
            </w:r>
            <w:r>
              <w:rPr>
                <w:sz w:val="24"/>
                <w:szCs w:val="24"/>
              </w:rPr>
              <w:t>其产品、服务用于解决购买者生活中( 非生产中)的各种需求。生活性服务业是连接物质、精神产品生产和消费之间的载体,物质、精神产品只有经过生活性服务业才能被人们所消费。生活性服务业一般包括文教卫生、商贸流通、娱乐健身、餐饮住宿、交通运输、市政服务等行业。</w:t>
            </w:r>
          </w:p>
          <w:p>
            <w:pPr>
              <w:pStyle w:val="180"/>
              <w:spacing w:line="360" w:lineRule="auto"/>
              <w:ind w:firstLine="480"/>
              <w:jc w:val="left"/>
              <w:rPr>
                <w:sz w:val="24"/>
                <w:szCs w:val="24"/>
              </w:rPr>
            </w:pPr>
            <w:r>
              <w:rPr>
                <w:rFonts w:hint="eastAsia"/>
                <w:kern w:val="0"/>
                <w:sz w:val="24"/>
                <w:szCs w:val="24"/>
              </w:rPr>
              <w:t>经济技术开发区应发展吸纳就业制造业的基础上</w:t>
            </w:r>
            <w:r>
              <w:rPr>
                <w:rFonts w:hint="eastAsia"/>
                <w:kern w:val="0"/>
                <w:sz w:val="24"/>
                <w:szCs w:val="24"/>
                <w:lang w:eastAsia="zh-CN"/>
              </w:rPr>
              <w:t>，</w:t>
            </w:r>
            <w:r>
              <w:rPr>
                <w:rFonts w:hint="eastAsia"/>
                <w:kern w:val="0"/>
                <w:sz w:val="24"/>
                <w:szCs w:val="24"/>
              </w:rPr>
              <w:t>经济技术开发区由原有以生产功能为主的开发区向综合功能的新城区转变，提升和完善原有餐饮、批发、居住服务业等生活性服务业的档次和类型</w:t>
            </w:r>
            <w:r>
              <w:rPr>
                <w:rFonts w:hint="eastAsia"/>
                <w:spacing w:val="-48"/>
                <w:kern w:val="0"/>
                <w:sz w:val="24"/>
                <w:szCs w:val="24"/>
              </w:rPr>
              <w:t>，</w:t>
            </w:r>
            <w:r>
              <w:rPr>
                <w:rFonts w:hint="eastAsia"/>
                <w:kern w:val="0"/>
                <w:sz w:val="24"/>
                <w:szCs w:val="24"/>
              </w:rPr>
              <w:t>满足多样的休闲娱乐需求</w:t>
            </w:r>
            <w:r>
              <w:rPr>
                <w:rFonts w:hint="eastAsia"/>
                <w:spacing w:val="-48"/>
                <w:kern w:val="0"/>
                <w:sz w:val="24"/>
                <w:szCs w:val="24"/>
              </w:rPr>
              <w:t>，</w:t>
            </w:r>
            <w:r>
              <w:rPr>
                <w:rFonts w:hint="eastAsia"/>
                <w:kern w:val="0"/>
                <w:sz w:val="24"/>
                <w:szCs w:val="24"/>
              </w:rPr>
              <w:t>同时应努力加强教育（特别是高等教育</w:t>
            </w:r>
            <w:r>
              <w:rPr>
                <w:rFonts w:hint="eastAsia"/>
                <w:spacing w:val="-120"/>
                <w:kern w:val="0"/>
                <w:sz w:val="24"/>
                <w:szCs w:val="24"/>
              </w:rPr>
              <w:t>）</w:t>
            </w:r>
            <w:r>
              <w:rPr>
                <w:rFonts w:hint="eastAsia"/>
                <w:kern w:val="0"/>
                <w:sz w:val="24"/>
                <w:szCs w:val="24"/>
              </w:rPr>
              <w:t>、以不断聚集“人气</w:t>
            </w:r>
            <w:r>
              <w:rPr>
                <w:rFonts w:hint="eastAsia"/>
                <w:spacing w:val="-120"/>
                <w:kern w:val="0"/>
                <w:sz w:val="24"/>
                <w:szCs w:val="24"/>
              </w:rPr>
              <w:t>”</w:t>
            </w:r>
            <w:r>
              <w:rPr>
                <w:rFonts w:hint="eastAsia"/>
                <w:kern w:val="0"/>
                <w:sz w:val="24"/>
                <w:szCs w:val="24"/>
              </w:rPr>
              <w:t>，迅速提高城镇化质量。</w:t>
            </w:r>
          </w:p>
          <w:p>
            <w:pPr>
              <w:pStyle w:val="180"/>
              <w:spacing w:line="360" w:lineRule="auto"/>
              <w:ind w:firstLine="480"/>
              <w:jc w:val="left"/>
              <w:rPr>
                <w:sz w:val="24"/>
                <w:szCs w:val="24"/>
              </w:rPr>
            </w:pPr>
            <w:r>
              <w:rPr>
                <w:rFonts w:hint="eastAsia"/>
                <w:sz w:val="24"/>
                <w:szCs w:val="24"/>
                <w:lang w:val="en-US" w:eastAsia="zh-CN"/>
              </w:rPr>
              <w:t>E、</w:t>
            </w:r>
            <w:r>
              <w:rPr>
                <w:sz w:val="24"/>
                <w:szCs w:val="24"/>
              </w:rPr>
              <w:t xml:space="preserve">优化特色产业 </w:t>
            </w:r>
          </w:p>
          <w:p>
            <w:pPr>
              <w:pStyle w:val="180"/>
              <w:spacing w:line="360" w:lineRule="auto"/>
              <w:ind w:firstLine="480"/>
              <w:jc w:val="left"/>
              <w:rPr>
                <w:sz w:val="24"/>
                <w:szCs w:val="24"/>
              </w:rPr>
            </w:pPr>
            <w:r>
              <w:rPr>
                <w:rFonts w:hint="eastAsia"/>
                <w:sz w:val="24"/>
                <w:szCs w:val="24"/>
              </w:rPr>
              <w:t>充分发挥西郊公园、仙姑山、马眼水库以及信江沿岸等地区景观优势，结合市域红色文化旅游、儒家文化旅游等类型，发展观光型旅游；利用开发区西部的现代农业，发展以农业游览为主的观光型旅游和以创意农业为代表的体验型旅游。</w:t>
            </w:r>
          </w:p>
          <w:p>
            <w:pPr>
              <w:pStyle w:val="180"/>
              <w:spacing w:line="360" w:lineRule="auto"/>
              <w:ind w:firstLine="480"/>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项目主属光学产业项目，符合开发区产业规划。</w:t>
            </w:r>
          </w:p>
          <w:p>
            <w:pPr>
              <w:pStyle w:val="178"/>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空间布局</w:t>
            </w:r>
          </w:p>
          <w:p>
            <w:pPr>
              <w:pStyle w:val="180"/>
              <w:spacing w:line="360" w:lineRule="auto"/>
              <w:ind w:firstLine="480"/>
              <w:jc w:val="left"/>
              <w:rPr>
                <w:sz w:val="24"/>
                <w:szCs w:val="24"/>
              </w:rPr>
            </w:pPr>
            <w:r>
              <w:rPr>
                <w:rFonts w:hint="eastAsia" w:ascii="宋体" w:hAnsi="宋体" w:eastAsia="宋体" w:cs="宋体"/>
                <w:sz w:val="24"/>
                <w:szCs w:val="24"/>
              </w:rPr>
              <w:t>规划总体形成“西产东服”的产业空间格局</w:t>
            </w:r>
            <w:r>
              <w:rPr>
                <w:sz w:val="24"/>
                <w:szCs w:val="24"/>
              </w:rPr>
              <w:t>，凤凰西大道以东、信江以西的地区主要发展商务办公、商业金融、科技研发、产业教育和生活服务业为主，凤凰西大道以西地区则主要发展光伏、光学、机械电子、装备制造、高新技术产业和商贸物流等产业。</w:t>
            </w:r>
          </w:p>
          <w:p>
            <w:pPr>
              <w:pStyle w:val="180"/>
              <w:spacing w:line="360" w:lineRule="auto"/>
              <w:ind w:firstLine="480"/>
              <w:jc w:val="left"/>
              <w:rPr>
                <w:sz w:val="24"/>
                <w:szCs w:val="24"/>
              </w:rPr>
            </w:pPr>
            <w:r>
              <w:rPr>
                <w:sz w:val="24"/>
                <w:szCs w:val="24"/>
              </w:rPr>
              <w:t>规划形成五大产业园，分别为综合产业组团、光学光伏产业组团、机械电子产业组团、装备制造产业组团、高新技术产业组团。</w:t>
            </w:r>
          </w:p>
          <w:p>
            <w:pPr>
              <w:pStyle w:val="180"/>
              <w:spacing w:line="360" w:lineRule="auto"/>
              <w:ind w:firstLine="480"/>
              <w:jc w:val="left"/>
              <w:rPr>
                <w:sz w:val="24"/>
                <w:szCs w:val="24"/>
              </w:rPr>
            </w:pPr>
            <w:bookmarkStart w:id="8" w:name="（1）_综合产业组团"/>
            <w:bookmarkEnd w:id="8"/>
            <w:r>
              <w:rPr>
                <w:sz w:val="24"/>
                <w:szCs w:val="24"/>
              </w:rPr>
              <w:t xml:space="preserve">（1）综合产业组团 </w:t>
            </w:r>
          </w:p>
          <w:p>
            <w:pPr>
              <w:pStyle w:val="180"/>
              <w:spacing w:line="360" w:lineRule="auto"/>
              <w:ind w:firstLine="480"/>
              <w:jc w:val="left"/>
              <w:rPr>
                <w:sz w:val="24"/>
                <w:szCs w:val="24"/>
              </w:rPr>
            </w:pPr>
            <w:r>
              <w:rPr>
                <w:sz w:val="24"/>
                <w:szCs w:val="24"/>
              </w:rPr>
              <w:t>位于三清山西大道以南、聚远路以北北面的组团，总工业用地约</w:t>
            </w:r>
            <w:r>
              <w:rPr>
                <w:rFonts w:hint="eastAsia"/>
                <w:sz w:val="24"/>
                <w:szCs w:val="24"/>
              </w:rPr>
              <w:t>564.78</w:t>
            </w:r>
            <w:r>
              <w:rPr>
                <w:sz w:val="24"/>
                <w:szCs w:val="24"/>
              </w:rPr>
              <w:t>公顷。应对近中期发展，以中小企业和民营企业为主，对产业门类限制较少。</w:t>
            </w:r>
          </w:p>
          <w:p>
            <w:pPr>
              <w:pStyle w:val="180"/>
              <w:spacing w:line="360" w:lineRule="auto"/>
              <w:ind w:firstLine="480"/>
              <w:jc w:val="left"/>
              <w:rPr>
                <w:sz w:val="24"/>
                <w:szCs w:val="24"/>
              </w:rPr>
            </w:pPr>
            <w:bookmarkStart w:id="9" w:name="（2）_光学光伏产业组团"/>
            <w:bookmarkEnd w:id="9"/>
            <w:r>
              <w:rPr>
                <w:sz w:val="24"/>
                <w:szCs w:val="24"/>
              </w:rPr>
              <w:t xml:space="preserve">（2）光学光伏产业组团 </w:t>
            </w:r>
          </w:p>
          <w:p>
            <w:pPr>
              <w:pStyle w:val="180"/>
              <w:spacing w:line="360" w:lineRule="auto"/>
              <w:ind w:firstLine="480"/>
              <w:jc w:val="left"/>
              <w:rPr>
                <w:rFonts w:hint="eastAsia" w:ascii="宋体" w:hAnsi="宋体" w:eastAsia="宋体" w:cs="宋体"/>
                <w:sz w:val="24"/>
                <w:szCs w:val="24"/>
              </w:rPr>
            </w:pPr>
            <w:r>
              <w:rPr>
                <w:sz w:val="24"/>
                <w:szCs w:val="24"/>
              </w:rPr>
              <w:t>东至武夷山路，西到沪昆高速公路，南抵笔架山，总工业用地</w:t>
            </w:r>
            <w:r>
              <w:rPr>
                <w:rFonts w:hint="eastAsia"/>
                <w:sz w:val="24"/>
                <w:szCs w:val="24"/>
              </w:rPr>
              <w:t>303.19</w:t>
            </w:r>
            <w:r>
              <w:rPr>
                <w:sz w:val="24"/>
                <w:szCs w:val="24"/>
              </w:rPr>
              <w:t>公顷。应对近期，在现有产业基础上，依托现有的产业优势，突出发展</w:t>
            </w:r>
            <w:r>
              <w:rPr>
                <w:rFonts w:hint="eastAsia" w:ascii="宋体" w:hAnsi="宋体" w:eastAsia="宋体" w:cs="宋体"/>
                <w:sz w:val="24"/>
                <w:szCs w:val="24"/>
              </w:rPr>
              <w:t>“光学”与“光伏”两个国家级高新技术产业基地品牌。</w:t>
            </w:r>
          </w:p>
          <w:p>
            <w:pPr>
              <w:pStyle w:val="180"/>
              <w:spacing w:line="360" w:lineRule="auto"/>
              <w:ind w:firstLine="480"/>
              <w:jc w:val="left"/>
              <w:rPr>
                <w:sz w:val="24"/>
                <w:szCs w:val="24"/>
              </w:rPr>
            </w:pPr>
            <w:bookmarkStart w:id="10" w:name="（3）_机械电子产业组团"/>
            <w:bookmarkEnd w:id="10"/>
            <w:r>
              <w:rPr>
                <w:sz w:val="24"/>
                <w:szCs w:val="24"/>
              </w:rPr>
              <w:t xml:space="preserve">（3）机械电子产业组团 </w:t>
            </w:r>
          </w:p>
          <w:p>
            <w:pPr>
              <w:pStyle w:val="180"/>
              <w:spacing w:line="360" w:lineRule="auto"/>
              <w:ind w:firstLine="480"/>
              <w:jc w:val="left"/>
              <w:rPr>
                <w:sz w:val="24"/>
                <w:szCs w:val="24"/>
              </w:rPr>
            </w:pPr>
            <w:r>
              <w:rPr>
                <w:sz w:val="24"/>
                <w:szCs w:val="24"/>
              </w:rPr>
              <w:t>东至凤凰西大道，西到中心路，南抵鹭栖大道，北界笔架山，总工业用地约</w:t>
            </w:r>
            <w:r>
              <w:rPr>
                <w:rFonts w:hint="eastAsia"/>
                <w:sz w:val="24"/>
                <w:szCs w:val="24"/>
              </w:rPr>
              <w:t>325.54</w:t>
            </w:r>
            <w:r>
              <w:rPr>
                <w:sz w:val="24"/>
                <w:szCs w:val="24"/>
              </w:rPr>
              <w:t>公顷。依托现有的良好机电产业基础，继续引入该领域较大型产业形成完整的产业链。</w:t>
            </w:r>
          </w:p>
          <w:p>
            <w:pPr>
              <w:pStyle w:val="180"/>
              <w:spacing w:line="360" w:lineRule="auto"/>
              <w:ind w:firstLine="480"/>
              <w:jc w:val="left"/>
              <w:rPr>
                <w:sz w:val="24"/>
                <w:szCs w:val="24"/>
              </w:rPr>
            </w:pPr>
            <w:bookmarkStart w:id="11" w:name="（4）_装备制造产业组团"/>
            <w:bookmarkEnd w:id="11"/>
            <w:r>
              <w:rPr>
                <w:sz w:val="24"/>
                <w:szCs w:val="24"/>
              </w:rPr>
              <w:t xml:space="preserve">（4）装备制造产业组团 </w:t>
            </w:r>
          </w:p>
          <w:p>
            <w:pPr>
              <w:pStyle w:val="180"/>
              <w:spacing w:line="360" w:lineRule="auto"/>
              <w:ind w:firstLine="480"/>
              <w:jc w:val="left"/>
              <w:rPr>
                <w:sz w:val="24"/>
                <w:szCs w:val="24"/>
              </w:rPr>
            </w:pPr>
            <w:r>
              <w:rPr>
                <w:sz w:val="24"/>
                <w:szCs w:val="24"/>
              </w:rPr>
              <w:t>由滨江西路、兴业大道、振兴路和迎宾大道围合的区域，总工业用地约</w:t>
            </w:r>
            <w:r>
              <w:rPr>
                <w:rFonts w:hint="eastAsia"/>
                <w:sz w:val="24"/>
                <w:szCs w:val="24"/>
              </w:rPr>
              <w:t>958.56</w:t>
            </w:r>
            <w:r>
              <w:rPr>
                <w:sz w:val="24"/>
                <w:szCs w:val="24"/>
              </w:rPr>
              <w:t>公顷。在迎宾大道以西、通过上铅快速靠近铅山矿产的片区布局有色金属及其装备制造业等先进制造业。</w:t>
            </w:r>
          </w:p>
          <w:p>
            <w:pPr>
              <w:pStyle w:val="180"/>
              <w:spacing w:line="360" w:lineRule="auto"/>
              <w:ind w:firstLine="480"/>
              <w:jc w:val="left"/>
              <w:rPr>
                <w:sz w:val="24"/>
                <w:szCs w:val="24"/>
              </w:rPr>
            </w:pPr>
            <w:bookmarkStart w:id="12" w:name="（5）_高新技术产业组团"/>
            <w:bookmarkEnd w:id="12"/>
            <w:r>
              <w:rPr>
                <w:sz w:val="24"/>
                <w:szCs w:val="24"/>
              </w:rPr>
              <w:t xml:space="preserve">（5）高新技术产业组团 </w:t>
            </w:r>
          </w:p>
          <w:p>
            <w:pPr>
              <w:pStyle w:val="180"/>
              <w:spacing w:line="360" w:lineRule="auto"/>
              <w:ind w:firstLine="480"/>
              <w:jc w:val="left"/>
              <w:rPr>
                <w:rFonts w:hint="eastAsia"/>
                <w:sz w:val="24"/>
                <w:szCs w:val="24"/>
              </w:rPr>
            </w:pPr>
            <w:r>
              <w:rPr>
                <w:sz w:val="24"/>
                <w:szCs w:val="24"/>
              </w:rPr>
              <w:t>东至鸿翔大道，西到北园一路，南抵迎宾大道，北界北园七路，总工业用地约</w:t>
            </w:r>
            <w:r>
              <w:rPr>
                <w:rFonts w:hint="eastAsia"/>
                <w:sz w:val="24"/>
                <w:szCs w:val="24"/>
              </w:rPr>
              <w:t>266.63</w:t>
            </w:r>
            <w:r>
              <w:rPr>
                <w:sz w:val="24"/>
                <w:szCs w:val="24"/>
              </w:rPr>
              <w:t>公顷。依托光学发展光学、新材料及电子信息等高新技术产业</w:t>
            </w:r>
            <w:r>
              <w:rPr>
                <w:rFonts w:hint="eastAsia"/>
                <w:sz w:val="24"/>
                <w:szCs w:val="24"/>
              </w:rPr>
              <w:t>。</w:t>
            </w:r>
          </w:p>
          <w:p>
            <w:pPr>
              <w:pStyle w:val="180"/>
              <w:spacing w:line="360" w:lineRule="auto"/>
              <w:ind w:firstLine="480"/>
              <w:jc w:val="left"/>
              <w:rPr>
                <w:rFonts w:hint="eastAsia"/>
                <w:sz w:val="24"/>
                <w:szCs w:val="24"/>
              </w:rPr>
            </w:pPr>
            <w:r>
              <w:rPr>
                <w:rFonts w:hint="eastAsia" w:ascii="Times New Roman" w:hAnsi="Times New Roman" w:eastAsia="宋体" w:cs="Times New Roman"/>
                <w:b w:val="0"/>
                <w:bCs/>
                <w:color w:val="auto"/>
                <w:sz w:val="24"/>
                <w:szCs w:val="24"/>
              </w:rPr>
              <w:t>本项目位于</w:t>
            </w:r>
            <w:r>
              <w:rPr>
                <w:rFonts w:hint="eastAsia" w:ascii="Times New Roman" w:hAnsi="Times New Roman" w:eastAsia="宋体"/>
                <w:b w:val="0"/>
                <w:bCs/>
                <w:color w:val="auto"/>
                <w:sz w:val="24"/>
                <w:szCs w:val="24"/>
              </w:rPr>
              <w:t>上饶经济技术开发区中的光学光伏</w:t>
            </w:r>
            <w:r>
              <w:rPr>
                <w:rFonts w:hint="eastAsia" w:ascii="Times New Roman" w:hAnsi="Times New Roman" w:eastAsia="宋体"/>
                <w:b w:val="0"/>
                <w:bCs/>
                <w:color w:val="auto"/>
                <w:sz w:val="24"/>
                <w:szCs w:val="24"/>
                <w:lang w:val="en-US" w:eastAsia="zh-CN"/>
              </w:rPr>
              <w:t>组团</w:t>
            </w:r>
            <w:r>
              <w:rPr>
                <w:rFonts w:hint="eastAsia" w:ascii="Times New Roman" w:hAnsi="Times New Roman" w:eastAsia="宋体"/>
                <w:b w:val="0"/>
                <w:bCs/>
                <w:color w:val="auto"/>
                <w:sz w:val="24"/>
                <w:szCs w:val="24"/>
              </w:rPr>
              <w:t>，</w:t>
            </w:r>
            <w:r>
              <w:rPr>
                <w:rFonts w:hint="eastAsia" w:ascii="Times New Roman" w:hAnsi="Times New Roman" w:eastAsia="宋体"/>
                <w:b w:val="0"/>
                <w:bCs/>
                <w:color w:val="auto"/>
                <w:sz w:val="24"/>
                <w:szCs w:val="24"/>
                <w:lang w:eastAsia="zh-CN"/>
              </w:rPr>
              <w:t>根据《</w:t>
            </w:r>
            <w:r>
              <w:rPr>
                <w:rFonts w:hint="eastAsia" w:ascii="Times New Roman" w:hAnsi="Times New Roman" w:eastAsia="宋体"/>
                <w:b w:val="0"/>
                <w:bCs/>
                <w:color w:val="auto"/>
                <w:sz w:val="24"/>
                <w:szCs w:val="24"/>
                <w:lang w:val="en-US" w:eastAsia="zh-CN"/>
              </w:rPr>
              <w:t>上饶经济技术开发区总体发展规划环境影响报告书</w:t>
            </w:r>
            <w:r>
              <w:rPr>
                <w:rFonts w:hint="eastAsia" w:ascii="Times New Roman" w:hAnsi="Times New Roman" w:eastAsia="宋体"/>
                <w:b w:val="0"/>
                <w:bCs/>
                <w:color w:val="auto"/>
                <w:sz w:val="24"/>
                <w:szCs w:val="24"/>
                <w:lang w:eastAsia="zh-CN"/>
              </w:rPr>
              <w:t>》，</w:t>
            </w:r>
            <w:r>
              <w:rPr>
                <w:rFonts w:hint="eastAsia" w:ascii="Times New Roman" w:hAnsi="Times New Roman"/>
                <w:b w:val="0"/>
                <w:bCs/>
                <w:color w:val="auto"/>
                <w:sz w:val="24"/>
                <w:szCs w:val="24"/>
                <w:lang w:eastAsia="zh-CN"/>
              </w:rPr>
              <w:t>与</w:t>
            </w:r>
            <w:r>
              <w:rPr>
                <w:rFonts w:hint="eastAsia" w:ascii="Times New Roman" w:hAnsi="Times New Roman" w:eastAsia="宋体"/>
                <w:b w:val="0"/>
                <w:bCs/>
                <w:color w:val="auto"/>
                <w:sz w:val="24"/>
                <w:szCs w:val="24"/>
                <w:lang w:eastAsia="zh-CN"/>
              </w:rPr>
              <w:t>上饶经开区</w:t>
            </w:r>
            <w:r>
              <w:rPr>
                <w:rFonts w:hint="eastAsia" w:ascii="Times New Roman" w:hAnsi="Times New Roman" w:eastAsia="宋体"/>
                <w:b w:val="0"/>
                <w:bCs/>
                <w:color w:val="auto"/>
                <w:sz w:val="24"/>
                <w:szCs w:val="24"/>
              </w:rPr>
              <w:t>光学光伏</w:t>
            </w:r>
            <w:r>
              <w:rPr>
                <w:rFonts w:hint="eastAsia" w:ascii="Times New Roman" w:hAnsi="Times New Roman" w:eastAsia="宋体"/>
                <w:b w:val="0"/>
                <w:bCs/>
                <w:color w:val="auto"/>
                <w:sz w:val="24"/>
                <w:szCs w:val="24"/>
                <w:lang w:eastAsia="zh-CN"/>
              </w:rPr>
              <w:t>组团环境负面清单相符性分析见表</w:t>
            </w:r>
            <w:r>
              <w:rPr>
                <w:rFonts w:hint="eastAsia" w:ascii="Times New Roman" w:hAnsi="Times New Roman" w:eastAsia="宋体"/>
                <w:b w:val="0"/>
                <w:bCs/>
                <w:color w:val="auto"/>
                <w:sz w:val="24"/>
                <w:szCs w:val="24"/>
                <w:lang w:val="en-US" w:eastAsia="zh-CN"/>
              </w:rPr>
              <w:t>1-</w:t>
            </w:r>
            <w:r>
              <w:rPr>
                <w:rFonts w:hint="eastAsia" w:ascii="Times New Roman" w:hAnsi="Times New Roman"/>
                <w:b w:val="0"/>
                <w:bCs/>
                <w:color w:val="auto"/>
                <w:sz w:val="24"/>
                <w:szCs w:val="24"/>
                <w:lang w:val="en-US" w:eastAsia="zh-CN"/>
              </w:rPr>
              <w:t>1</w:t>
            </w:r>
            <w:r>
              <w:rPr>
                <w:rFonts w:hint="eastAsia" w:ascii="Times New Roman" w:hAnsi="Times New Roman" w:eastAsia="宋体"/>
                <w:b w:val="0"/>
                <w:bCs/>
                <w:color w:val="auto"/>
                <w:sz w:val="24"/>
                <w:szCs w:val="24"/>
                <w:lang w:val="en-US" w:eastAsia="zh-CN"/>
              </w:rPr>
              <w:t>。</w:t>
            </w:r>
          </w:p>
          <w:p>
            <w:pPr>
              <w:pStyle w:val="67"/>
              <w:bidi w:val="0"/>
              <w:rPr>
                <w:rFonts w:ascii="Times New Roman" w:hAnsi="Times New Roman" w:eastAsia="宋体" w:cs="宋体"/>
                <w:color w:val="auto"/>
              </w:rPr>
            </w:pPr>
            <w:r>
              <w:rPr>
                <w:rFonts w:ascii="Times New Roman" w:hAnsi="Times New Roman" w:eastAsia="宋体" w:cs="宋体"/>
                <w:color w:val="auto"/>
              </w:rPr>
              <w:t>表1-</w:t>
            </w:r>
            <w:r>
              <w:rPr>
                <w:rFonts w:hint="eastAsia" w:ascii="Times New Roman" w:hAnsi="Times New Roman" w:eastAsia="宋体" w:cs="宋体"/>
                <w:color w:val="auto"/>
                <w:lang w:val="en-US" w:eastAsia="zh-CN"/>
              </w:rPr>
              <w:t>1</w:t>
            </w:r>
            <w:r>
              <w:rPr>
                <w:rFonts w:ascii="Times New Roman" w:hAnsi="Times New Roman" w:eastAsia="宋体" w:cs="宋体"/>
                <w:color w:val="auto"/>
              </w:rPr>
              <w:t xml:space="preserve"> 上饶</w:t>
            </w:r>
            <w:r>
              <w:rPr>
                <w:rFonts w:hint="eastAsia" w:ascii="Times New Roman" w:hAnsi="Times New Roman" w:eastAsia="宋体" w:cs="宋体"/>
                <w:color w:val="auto"/>
              </w:rPr>
              <w:t>经济技术开发区</w:t>
            </w:r>
            <w:r>
              <w:rPr>
                <w:rFonts w:ascii="Times New Roman" w:hAnsi="Times New Roman" w:eastAsia="宋体" w:cs="宋体"/>
                <w:color w:val="auto"/>
              </w:rPr>
              <w:t>环境准入负面清单</w:t>
            </w:r>
          </w:p>
          <w:tbl>
            <w:tblPr>
              <w:tblStyle w:val="27"/>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4"/>
              <w:gridCol w:w="867"/>
              <w:gridCol w:w="987"/>
              <w:gridCol w:w="999"/>
              <w:gridCol w:w="3111"/>
              <w:gridCol w:w="8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2" w:type="pct"/>
                  <w:vMerge w:val="restart"/>
                  <w:noWrap w:val="0"/>
                  <w:vAlign w:val="center"/>
                </w:tcPr>
                <w:p>
                  <w:pPr>
                    <w:widowControl w:val="0"/>
                    <w:spacing w:line="280" w:lineRule="exact"/>
                    <w:ind w:firstLine="0"/>
                    <w:jc w:val="center"/>
                    <w:rPr>
                      <w:rFonts w:eastAsia="宋体"/>
                      <w:sz w:val="21"/>
                      <w:szCs w:val="21"/>
                    </w:rPr>
                  </w:pPr>
                  <w:r>
                    <w:rPr>
                      <w:rFonts w:eastAsia="宋体"/>
                      <w:sz w:val="21"/>
                      <w:szCs w:val="21"/>
                    </w:rPr>
                    <w:t>组团</w:t>
                  </w:r>
                </w:p>
              </w:tc>
              <w:tc>
                <w:tcPr>
                  <w:tcW w:w="583" w:type="pct"/>
                  <w:vMerge w:val="restart"/>
                  <w:noWrap w:val="0"/>
                  <w:vAlign w:val="center"/>
                </w:tcPr>
                <w:p>
                  <w:pPr>
                    <w:widowControl w:val="0"/>
                    <w:spacing w:line="280" w:lineRule="exact"/>
                    <w:ind w:firstLine="0"/>
                    <w:jc w:val="center"/>
                    <w:rPr>
                      <w:rFonts w:eastAsia="宋体"/>
                      <w:sz w:val="21"/>
                      <w:szCs w:val="21"/>
                    </w:rPr>
                  </w:pPr>
                  <w:r>
                    <w:rPr>
                      <w:rFonts w:eastAsia="宋体"/>
                      <w:sz w:val="21"/>
                      <w:szCs w:val="21"/>
                    </w:rPr>
                    <w:t>规划发展产业</w:t>
                  </w:r>
                </w:p>
              </w:tc>
              <w:tc>
                <w:tcPr>
                  <w:tcW w:w="1335" w:type="pct"/>
                  <w:gridSpan w:val="2"/>
                  <w:noWrap w:val="0"/>
                  <w:vAlign w:val="center"/>
                </w:tcPr>
                <w:p>
                  <w:pPr>
                    <w:widowControl w:val="0"/>
                    <w:spacing w:line="280" w:lineRule="exact"/>
                    <w:ind w:firstLine="0"/>
                    <w:jc w:val="center"/>
                    <w:rPr>
                      <w:rFonts w:eastAsia="宋体"/>
                      <w:sz w:val="21"/>
                      <w:szCs w:val="21"/>
                    </w:rPr>
                  </w:pPr>
                  <w:r>
                    <w:rPr>
                      <w:rFonts w:eastAsia="宋体"/>
                      <w:sz w:val="21"/>
                      <w:szCs w:val="21"/>
                    </w:rPr>
                    <w:t>负面清单</w:t>
                  </w:r>
                </w:p>
              </w:tc>
              <w:tc>
                <w:tcPr>
                  <w:tcW w:w="2091" w:type="pct"/>
                  <w:vMerge w:val="restart"/>
                  <w:noWrap w:val="0"/>
                  <w:vAlign w:val="center"/>
                </w:tcPr>
                <w:p>
                  <w:pPr>
                    <w:widowControl w:val="0"/>
                    <w:spacing w:line="280" w:lineRule="exact"/>
                    <w:ind w:firstLine="0"/>
                    <w:jc w:val="center"/>
                    <w:rPr>
                      <w:rFonts w:eastAsia="宋体"/>
                      <w:sz w:val="21"/>
                      <w:szCs w:val="21"/>
                    </w:rPr>
                  </w:pPr>
                  <w:r>
                    <w:rPr>
                      <w:rFonts w:eastAsia="宋体"/>
                      <w:sz w:val="21"/>
                      <w:szCs w:val="21"/>
                    </w:rPr>
                    <w:t>环境准入条件</w:t>
                  </w:r>
                </w:p>
              </w:tc>
              <w:tc>
                <w:tcPr>
                  <w:tcW w:w="597" w:type="pct"/>
                  <w:vMerge w:val="restart"/>
                  <w:noWrap w:val="0"/>
                  <w:vAlign w:val="center"/>
                </w:tcPr>
                <w:p>
                  <w:pPr>
                    <w:widowControl w:val="0"/>
                    <w:spacing w:line="280" w:lineRule="exact"/>
                    <w:ind w:firstLine="0"/>
                    <w:jc w:val="center"/>
                    <w:rPr>
                      <w:rFonts w:eastAsia="宋体"/>
                      <w:sz w:val="21"/>
                      <w:szCs w:val="21"/>
                    </w:rPr>
                  </w:pPr>
                  <w:r>
                    <w:rPr>
                      <w:rFonts w:ascii="Times New Roman" w:hAnsi="Times New Roman" w:eastAsia="宋体" w:cs="宋体"/>
                      <w:color w:val="auto"/>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2" w:type="pct"/>
                  <w:vMerge w:val="continue"/>
                  <w:noWrap w:val="0"/>
                  <w:vAlign w:val="center"/>
                </w:tcPr>
                <w:p>
                  <w:pPr>
                    <w:widowControl w:val="0"/>
                    <w:spacing w:line="280" w:lineRule="exact"/>
                    <w:ind w:firstLine="0"/>
                    <w:jc w:val="center"/>
                    <w:rPr>
                      <w:rFonts w:eastAsia="宋体"/>
                      <w:sz w:val="21"/>
                      <w:szCs w:val="21"/>
                    </w:rPr>
                  </w:pPr>
                </w:p>
              </w:tc>
              <w:tc>
                <w:tcPr>
                  <w:tcW w:w="583" w:type="pct"/>
                  <w:vMerge w:val="continue"/>
                  <w:noWrap w:val="0"/>
                  <w:vAlign w:val="center"/>
                </w:tcPr>
                <w:p>
                  <w:pPr>
                    <w:widowControl w:val="0"/>
                    <w:spacing w:line="280" w:lineRule="exact"/>
                    <w:ind w:firstLine="0"/>
                    <w:jc w:val="center"/>
                    <w:rPr>
                      <w:rFonts w:eastAsia="宋体"/>
                      <w:sz w:val="21"/>
                      <w:szCs w:val="21"/>
                    </w:rPr>
                  </w:pPr>
                </w:p>
              </w:tc>
              <w:tc>
                <w:tcPr>
                  <w:tcW w:w="663" w:type="pct"/>
                  <w:noWrap w:val="0"/>
                  <w:vAlign w:val="center"/>
                </w:tcPr>
                <w:p>
                  <w:pPr>
                    <w:widowControl w:val="0"/>
                    <w:spacing w:line="280" w:lineRule="exact"/>
                    <w:ind w:firstLine="0"/>
                    <w:jc w:val="center"/>
                    <w:rPr>
                      <w:rFonts w:eastAsia="宋体"/>
                      <w:sz w:val="21"/>
                      <w:szCs w:val="21"/>
                    </w:rPr>
                  </w:pPr>
                  <w:r>
                    <w:rPr>
                      <w:rFonts w:eastAsia="宋体"/>
                      <w:sz w:val="21"/>
                      <w:szCs w:val="21"/>
                    </w:rPr>
                    <w:t>限制类</w:t>
                  </w:r>
                </w:p>
              </w:tc>
              <w:tc>
                <w:tcPr>
                  <w:tcW w:w="671" w:type="pct"/>
                  <w:noWrap w:val="0"/>
                  <w:vAlign w:val="center"/>
                </w:tcPr>
                <w:p>
                  <w:pPr>
                    <w:widowControl w:val="0"/>
                    <w:spacing w:line="280" w:lineRule="exact"/>
                    <w:ind w:firstLine="0"/>
                    <w:jc w:val="center"/>
                    <w:rPr>
                      <w:rFonts w:eastAsia="宋体"/>
                      <w:sz w:val="21"/>
                      <w:szCs w:val="21"/>
                    </w:rPr>
                  </w:pPr>
                  <w:r>
                    <w:rPr>
                      <w:rFonts w:eastAsia="宋体"/>
                      <w:sz w:val="21"/>
                      <w:szCs w:val="21"/>
                    </w:rPr>
                    <w:t>淘汰类</w:t>
                  </w:r>
                </w:p>
              </w:tc>
              <w:tc>
                <w:tcPr>
                  <w:tcW w:w="2091" w:type="pct"/>
                  <w:vMerge w:val="continue"/>
                  <w:noWrap w:val="0"/>
                  <w:vAlign w:val="center"/>
                </w:tcPr>
                <w:p>
                  <w:pPr>
                    <w:widowControl w:val="0"/>
                    <w:spacing w:line="280" w:lineRule="exact"/>
                    <w:ind w:firstLine="0"/>
                    <w:jc w:val="center"/>
                    <w:rPr>
                      <w:rFonts w:eastAsia="宋体"/>
                      <w:sz w:val="21"/>
                      <w:szCs w:val="21"/>
                    </w:rPr>
                  </w:pPr>
                </w:p>
              </w:tc>
              <w:tc>
                <w:tcPr>
                  <w:tcW w:w="597" w:type="pct"/>
                  <w:vMerge w:val="continue"/>
                  <w:noWrap w:val="0"/>
                  <w:vAlign w:val="center"/>
                </w:tcPr>
                <w:p>
                  <w:pPr>
                    <w:widowControl w:val="0"/>
                    <w:spacing w:line="280" w:lineRule="exact"/>
                    <w:ind w:firstLine="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2" w:type="pct"/>
                  <w:noWrap w:val="0"/>
                  <w:vAlign w:val="center"/>
                </w:tcPr>
                <w:p>
                  <w:pPr>
                    <w:widowControl w:val="0"/>
                    <w:spacing w:line="280" w:lineRule="exact"/>
                    <w:ind w:firstLine="0" w:firstLineChars="0"/>
                    <w:jc w:val="center"/>
                    <w:rPr>
                      <w:rFonts w:ascii="Times New Roman" w:hAnsi="Times New Roman" w:eastAsia="宋体" w:cs="Times New Roman"/>
                      <w:kern w:val="2"/>
                      <w:sz w:val="21"/>
                      <w:szCs w:val="21"/>
                      <w:lang w:val="en-US" w:eastAsia="zh-CN" w:bidi="ar-SA"/>
                    </w:rPr>
                  </w:pPr>
                  <w:r>
                    <w:rPr>
                      <w:rFonts w:eastAsia="宋体"/>
                      <w:sz w:val="21"/>
                      <w:szCs w:val="21"/>
                    </w:rPr>
                    <w:t>光学光伏组团</w:t>
                  </w:r>
                </w:p>
              </w:tc>
              <w:tc>
                <w:tcPr>
                  <w:tcW w:w="583" w:type="pct"/>
                  <w:noWrap w:val="0"/>
                  <w:vAlign w:val="center"/>
                </w:tcPr>
                <w:p>
                  <w:pPr>
                    <w:widowControl w:val="0"/>
                    <w:spacing w:line="280" w:lineRule="exact"/>
                    <w:ind w:firstLine="0" w:firstLineChars="0"/>
                    <w:jc w:val="center"/>
                    <w:rPr>
                      <w:rFonts w:ascii="Times New Roman" w:hAnsi="Times New Roman" w:eastAsia="宋体" w:cs="Times New Roman"/>
                      <w:kern w:val="2"/>
                      <w:sz w:val="21"/>
                      <w:szCs w:val="21"/>
                      <w:lang w:val="en-US" w:eastAsia="zh-CN" w:bidi="ar-SA"/>
                    </w:rPr>
                  </w:pPr>
                  <w:r>
                    <w:rPr>
                      <w:rFonts w:eastAsia="宋体"/>
                      <w:sz w:val="21"/>
                      <w:szCs w:val="21"/>
                    </w:rPr>
                    <w:t>光伏光学</w:t>
                  </w:r>
                </w:p>
              </w:tc>
              <w:tc>
                <w:tcPr>
                  <w:tcW w:w="663" w:type="pct"/>
                  <w:noWrap w:val="0"/>
                  <w:vAlign w:val="center"/>
                </w:tcPr>
                <w:p>
                  <w:pPr>
                    <w:widowControl w:val="0"/>
                    <w:spacing w:line="280" w:lineRule="exact"/>
                    <w:ind w:firstLine="0"/>
                    <w:jc w:val="center"/>
                    <w:rPr>
                      <w:rFonts w:eastAsia="宋体"/>
                      <w:sz w:val="21"/>
                      <w:szCs w:val="21"/>
                    </w:rPr>
                  </w:pPr>
                  <w:r>
                    <w:rPr>
                      <w:rFonts w:eastAsia="宋体"/>
                      <w:sz w:val="21"/>
                      <w:szCs w:val="21"/>
                    </w:rPr>
                    <w:t>1、模拟CRT黑白及彩色电视机项目；2、激光视盘机生产线（VCD系列整机产品）；3、新上单纯扩大产能的光伏制造项目；</w:t>
                  </w:r>
                </w:p>
                <w:p>
                  <w:pPr>
                    <w:widowControl w:val="0"/>
                    <w:spacing w:line="280" w:lineRule="exact"/>
                    <w:ind w:firstLine="0" w:firstLineChars="0"/>
                    <w:jc w:val="center"/>
                    <w:rPr>
                      <w:rFonts w:ascii="Times New Roman" w:hAnsi="Times New Roman" w:eastAsia="宋体" w:cs="Times New Roman"/>
                      <w:kern w:val="2"/>
                      <w:sz w:val="21"/>
                      <w:szCs w:val="21"/>
                      <w:lang w:val="en-US" w:eastAsia="zh-CN" w:bidi="ar-SA"/>
                    </w:rPr>
                  </w:pPr>
                  <w:r>
                    <w:rPr>
                      <w:rFonts w:eastAsia="宋体"/>
                      <w:sz w:val="21"/>
                      <w:szCs w:val="21"/>
                    </w:rPr>
                    <w:t>4、该组团基本已建成，现有低空大气污染型企业应限制扩建，且与居民区距离满足卫生防护距离要求。</w:t>
                  </w:r>
                </w:p>
              </w:tc>
              <w:tc>
                <w:tcPr>
                  <w:tcW w:w="671" w:type="pct"/>
                  <w:noWrap w:val="0"/>
                  <w:vAlign w:val="center"/>
                </w:tcPr>
                <w:p>
                  <w:pPr>
                    <w:widowControl w:val="0"/>
                    <w:spacing w:line="280" w:lineRule="exact"/>
                    <w:ind w:firstLine="0"/>
                    <w:jc w:val="center"/>
                    <w:rPr>
                      <w:rFonts w:ascii="Times New Roman" w:hAnsi="Times New Roman" w:eastAsia="宋体" w:cs="Times New Roman"/>
                      <w:kern w:val="2"/>
                      <w:sz w:val="21"/>
                      <w:szCs w:val="21"/>
                      <w:lang w:val="en-US" w:eastAsia="zh-CN" w:bidi="ar-SA"/>
                    </w:rPr>
                  </w:pPr>
                  <w:r>
                    <w:rPr>
                      <w:rFonts w:eastAsia="宋体"/>
                      <w:sz w:val="21"/>
                      <w:szCs w:val="21"/>
                    </w:rPr>
                    <w:t>1、蚀刻、电镀（配套电镀工序的除外）；2、水泥制造；金属冶炼</w:t>
                  </w:r>
                  <w:r>
                    <w:rPr>
                      <w:rFonts w:hint="eastAsia" w:eastAsia="宋体"/>
                      <w:sz w:val="21"/>
                      <w:szCs w:val="21"/>
                    </w:rPr>
                    <w:t>。</w:t>
                  </w:r>
                </w:p>
              </w:tc>
              <w:tc>
                <w:tcPr>
                  <w:tcW w:w="2091" w:type="pct"/>
                  <w:noWrap w:val="0"/>
                  <w:vAlign w:val="center"/>
                </w:tcPr>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1、工业项目应符合产业政策，不得采用国家淘汰的或禁止使用的工艺、技术和设备，不得建设生产工艺或污染防治技术不成熟的项目。</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2、新建、改建、扩建工业项目大气污染物及水污染物处理效率、万元工业增加值能耗、工业废水回用率需满足《国家生态工业示范园区标准》中的指标要求，对于达不到要求的不予审批入园。</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3、对于耗水量太大、污水处理难度大的企业项目以及容易引起大气低空面源污染的企业项目予以坚决限制，对于节能、环保及在现有规模以上企业产品的简单延伸加工或包装，深化园区产业链的企业或扩建项目予以鼓励。</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4.根据赣府厅发[2008]58号文件要求，信江沿线1公里范围内无重化工及生物医药等两高一资可能对信江造成风险的行业企业，应按照政策要求严格限制以上行业企业，并对园区内的有色金属、水泥建材等企业进行严格的环保监管，对于新、改、扩建项目从严把关。</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5.新增主要污染物排放量的工业项目必须取得排污指标，不得影响污染物总量减排计划的完成。未按要求完成污染物总量削减任务的企业，不得建设新增相应污染物排放量的工业项目。</w:t>
                  </w:r>
                </w:p>
                <w:p>
                  <w:pPr>
                    <w:widowControl w:val="0"/>
                    <w:autoSpaceDE w:val="0"/>
                    <w:autoSpaceDN w:val="0"/>
                    <w:adjustRightInd w:val="0"/>
                    <w:spacing w:line="280" w:lineRule="exact"/>
                    <w:ind w:firstLine="0"/>
                    <w:jc w:val="center"/>
                    <w:rPr>
                      <w:rFonts w:eastAsia="宋体"/>
                      <w:sz w:val="21"/>
                      <w:szCs w:val="21"/>
                    </w:rPr>
                  </w:pPr>
                  <w:r>
                    <w:rPr>
                      <w:rFonts w:eastAsia="宋体"/>
                      <w:sz w:val="21"/>
                      <w:szCs w:val="21"/>
                    </w:rPr>
                    <w:t>6.禁止建设存在重大环境安全隐患的工业项目。工业项目排放污染物必须达到国家和地方规定的污染物排放标准，资源环境绩效水平应达到要求。</w:t>
                  </w:r>
                </w:p>
              </w:tc>
              <w:tc>
                <w:tcPr>
                  <w:tcW w:w="597" w:type="pct"/>
                  <w:noWrap w:val="0"/>
                  <w:vAlign w:val="center"/>
                </w:tcPr>
                <w:p>
                  <w:pPr>
                    <w:widowControl w:val="0"/>
                    <w:autoSpaceDE w:val="0"/>
                    <w:autoSpaceDN w:val="0"/>
                    <w:adjustRightInd w:val="0"/>
                    <w:spacing w:line="280" w:lineRule="exact"/>
                    <w:ind w:firstLine="0"/>
                    <w:jc w:val="center"/>
                    <w:rPr>
                      <w:rFonts w:hint="default" w:eastAsia="宋体"/>
                      <w:sz w:val="21"/>
                      <w:szCs w:val="21"/>
                      <w:lang w:val="en-US" w:eastAsia="zh-CN"/>
                    </w:rPr>
                  </w:pPr>
                  <w:r>
                    <w:rPr>
                      <w:rFonts w:ascii="Times New Roman" w:hAnsi="Times New Roman" w:eastAsia="宋体" w:cs="宋体"/>
                      <w:color w:val="auto"/>
                    </w:rPr>
                    <w:t>本项目属于</w:t>
                  </w:r>
                  <w:r>
                    <w:rPr>
                      <w:rFonts w:hint="eastAsia" w:ascii="Times New Roman" w:hAnsi="Times New Roman" w:eastAsia="宋体" w:cs="宋体"/>
                      <w:color w:val="auto"/>
                    </w:rPr>
                    <w:t>光学仪器制造</w:t>
                  </w:r>
                  <w:r>
                    <w:rPr>
                      <w:rFonts w:ascii="Times New Roman" w:hAnsi="Times New Roman" w:eastAsia="宋体" w:cs="宋体"/>
                      <w:color w:val="auto"/>
                    </w:rPr>
                    <w:t>业，不属于限制类、淘汰类</w:t>
                  </w:r>
                  <w:r>
                    <w:rPr>
                      <w:rFonts w:hint="eastAsia" w:ascii="Times New Roman" w:hAnsi="Times New Roman" w:eastAsia="宋体" w:cs="宋体"/>
                      <w:color w:val="auto"/>
                      <w:lang w:eastAsia="zh-CN"/>
                    </w:rPr>
                    <w:t>，</w:t>
                  </w:r>
                  <w:r>
                    <w:rPr>
                      <w:rFonts w:hint="eastAsia" w:ascii="Times New Roman" w:hAnsi="Times New Roman" w:eastAsia="宋体" w:cs="宋体"/>
                      <w:color w:val="auto"/>
                      <w:lang w:val="en-US" w:eastAsia="zh-CN"/>
                    </w:rPr>
                    <w:t>符合准入条件</w:t>
                  </w:r>
                </w:p>
              </w:tc>
            </w:tr>
          </w:tbl>
          <w:p>
            <w:pPr>
              <w:pStyle w:val="70"/>
              <w:bidi w:val="0"/>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93" w:hRule="atLeast"/>
          <w:jc w:val="center"/>
        </w:trPr>
        <w:tc>
          <w:tcPr>
            <w:tcW w:w="1026" w:type="pct"/>
            <w:noWrap w:val="0"/>
            <w:vAlign w:val="center"/>
          </w:tcPr>
          <w:p>
            <w:pPr>
              <w:autoSpaceDE w:val="0"/>
              <w:autoSpaceDN w:val="0"/>
              <w:adjustRightInd w:val="0"/>
              <w:snapToGrid w:val="0"/>
              <w:jc w:val="center"/>
              <w:rPr>
                <w:rFonts w:hint="eastAsia" w:ascii="宋体" w:hAnsi="宋体" w:cs="宋体"/>
                <w:kern w:val="0"/>
                <w:sz w:val="24"/>
                <w:szCs w:val="24"/>
              </w:rPr>
            </w:pPr>
            <w:r>
              <w:rPr>
                <w:rFonts w:hint="eastAsia" w:ascii="宋体" w:hAnsi="宋体" w:cs="宋体"/>
                <w:kern w:val="0"/>
                <w:sz w:val="24"/>
                <w:szCs w:val="24"/>
              </w:rPr>
              <w:t>其他符合性分析</w:t>
            </w:r>
          </w:p>
        </w:tc>
        <w:tc>
          <w:tcPr>
            <w:tcW w:w="3973" w:type="pct"/>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1、“三线一单”相符性分析</w:t>
            </w:r>
          </w:p>
          <w:p>
            <w:pPr>
              <w:pStyle w:val="70"/>
              <w:bidi w:val="0"/>
              <w:rPr>
                <w:rFonts w:hint="eastAsia" w:ascii="Times New Roman" w:hAnsi="Times New Roman" w:eastAsia="宋体" w:cs="宋体"/>
                <w:color w:val="auto"/>
              </w:rPr>
            </w:pPr>
            <w:r>
              <w:rPr>
                <w:color w:val="auto"/>
                <w:kern w:val="0"/>
                <w:sz w:val="24"/>
                <w:szCs w:val="24"/>
                <w:lang w:bidi="ar"/>
              </w:rPr>
              <w:t>根据环保部发布的《关于以改善环境质量为核心加强环境影响评价管理的通知》（环环评［2016］150号）（以下简称《通知》），《通知》要求切实加强环境影响评价管理，落实</w:t>
            </w:r>
            <w:r>
              <w:rPr>
                <w:rFonts w:hint="eastAsia" w:ascii="宋体" w:hAnsi="宋体" w:cs="宋体"/>
                <w:color w:val="auto"/>
                <w:kern w:val="0"/>
                <w:sz w:val="24"/>
                <w:szCs w:val="24"/>
                <w:lang w:bidi="ar"/>
              </w:rPr>
              <w:t>“生态保护红线、环境质量底线、资源利用上线和环境准入负面清单”</w:t>
            </w:r>
            <w:r>
              <w:rPr>
                <w:color w:val="auto"/>
                <w:kern w:val="0"/>
                <w:sz w:val="24"/>
                <w:szCs w:val="24"/>
                <w:lang w:bidi="ar"/>
              </w:rPr>
              <w:t>约束，建立项目环评审批与规划环评、现有项目环境管理、区域环境质量联动机制，更好地发挥环评制度从源头防范环境污染和生态破坏的作用，加快推进改善环境质量。</w:t>
            </w:r>
            <w:r>
              <w:rPr>
                <w:rFonts w:ascii="Times New Roman" w:hAnsi="Times New Roman" w:eastAsia="宋体" w:cs="宋体"/>
                <w:color w:val="auto"/>
              </w:rPr>
              <w:t>根据国务院《促进产业结构调整暂行规定》（国发[2005]40号）中的第十三条：</w:t>
            </w:r>
            <w:r>
              <w:rPr>
                <w:rFonts w:hint="eastAsia" w:ascii="Times New Roman" w:hAnsi="Times New Roman" w:eastAsia="宋体" w:cs="宋体"/>
                <w:color w:val="auto"/>
                <w:lang w:eastAsia="zh-CN"/>
              </w:rPr>
              <w:t>“</w:t>
            </w:r>
            <w:r>
              <w:rPr>
                <w:rFonts w:ascii="Times New Roman" w:hAnsi="Times New Roman" w:eastAsia="宋体" w:cs="宋体"/>
                <w:color w:val="auto"/>
              </w:rPr>
              <w:t>不属于鼓励类、限制类及淘汰类，且符合国家有关法律、法规和政策规定的为允许类</w:t>
            </w:r>
            <w:r>
              <w:rPr>
                <w:rFonts w:hint="eastAsia" w:ascii="Times New Roman" w:hAnsi="Times New Roman" w:eastAsia="宋体" w:cs="宋体"/>
                <w:color w:val="auto"/>
                <w:lang w:eastAsia="zh-CN"/>
              </w:rPr>
              <w:t>”</w:t>
            </w:r>
            <w:r>
              <w:rPr>
                <w:rFonts w:hint="eastAsia" w:ascii="Times New Roman" w:hAnsi="Times New Roman" w:eastAsia="宋体" w:cs="宋体"/>
                <w:color w:val="auto"/>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color w:val="auto"/>
                <w:kern w:val="0"/>
                <w:sz w:val="24"/>
                <w:szCs w:val="24"/>
                <w:lang w:bidi="ar"/>
              </w:rPr>
            </w:pPr>
            <w:r>
              <w:rPr>
                <w:rFonts w:hint="eastAsia"/>
                <w:color w:val="auto"/>
                <w:kern w:val="0"/>
                <w:sz w:val="24"/>
                <w:szCs w:val="24"/>
                <w:lang w:bidi="ar"/>
              </w:rPr>
              <w:t>（1）</w:t>
            </w:r>
            <w:r>
              <w:rPr>
                <w:color w:val="auto"/>
                <w:kern w:val="0"/>
                <w:sz w:val="24"/>
                <w:szCs w:val="24"/>
                <w:lang w:bidi="ar"/>
              </w:rPr>
              <w:t>生态</w:t>
            </w:r>
            <w:r>
              <w:rPr>
                <w:rFonts w:hint="eastAsia"/>
                <w:color w:val="auto"/>
                <w:kern w:val="0"/>
                <w:sz w:val="24"/>
                <w:szCs w:val="24"/>
                <w:lang w:bidi="ar"/>
              </w:rPr>
              <w:t>保护</w:t>
            </w:r>
            <w:r>
              <w:rPr>
                <w:color w:val="auto"/>
                <w:kern w:val="0"/>
                <w:sz w:val="24"/>
                <w:szCs w:val="24"/>
                <w:lang w:bidi="ar"/>
              </w:rPr>
              <w:t>红线</w:t>
            </w:r>
          </w:p>
          <w:p>
            <w:pPr>
              <w:pStyle w:val="70"/>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根据《江西省人民政府关于发布江西省生态保护红线的通知》（赣府发[2018]21号），生态保护红线是保障和维护生态安全的底线和生命线。项目位于江西省上饶经济技术开发区</w:t>
            </w:r>
            <w:r>
              <w:rPr>
                <w:rFonts w:hint="default" w:ascii="Times New Roman" w:hAnsi="Times New Roman" w:cs="Times New Roman"/>
                <w:sz w:val="24"/>
                <w:szCs w:val="24"/>
                <w:u w:val="none"/>
              </w:rPr>
              <w:t>兴业大道</w:t>
            </w:r>
            <w:r>
              <w:rPr>
                <w:rFonts w:hint="default" w:ascii="Times New Roman" w:hAnsi="Times New Roman" w:eastAsia="宋体" w:cs="Times New Roman"/>
                <w:kern w:val="0"/>
                <w:sz w:val="24"/>
                <w:szCs w:val="24"/>
                <w:lang w:eastAsia="zh-CN"/>
              </w:rPr>
              <w:t>，用地性质为工业用地。项目不在当地饮用水源、风景区、自然保护区等生态保护区内，不触及生态保护红线。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color w:val="auto"/>
                <w:kern w:val="0"/>
                <w:sz w:val="24"/>
                <w:szCs w:val="24"/>
                <w:lang w:bidi="ar"/>
              </w:rPr>
            </w:pPr>
            <w:r>
              <w:rPr>
                <w:rFonts w:hint="eastAsia"/>
                <w:color w:val="auto"/>
                <w:kern w:val="0"/>
                <w:sz w:val="24"/>
                <w:szCs w:val="24"/>
                <w:lang w:eastAsia="zh-CN" w:bidi="ar"/>
              </w:rPr>
              <w:t>（</w:t>
            </w:r>
            <w:r>
              <w:rPr>
                <w:rFonts w:hint="eastAsia"/>
                <w:color w:val="auto"/>
                <w:kern w:val="0"/>
                <w:sz w:val="24"/>
                <w:szCs w:val="24"/>
                <w:lang w:val="en-US" w:eastAsia="zh-CN" w:bidi="ar"/>
              </w:rPr>
              <w:t>2</w:t>
            </w:r>
            <w:r>
              <w:rPr>
                <w:rFonts w:hint="eastAsia"/>
                <w:color w:val="auto"/>
                <w:kern w:val="0"/>
                <w:sz w:val="24"/>
                <w:szCs w:val="24"/>
                <w:lang w:eastAsia="zh-CN" w:bidi="ar"/>
              </w:rPr>
              <w:t>）</w:t>
            </w:r>
            <w:r>
              <w:rPr>
                <w:color w:val="auto"/>
                <w:kern w:val="0"/>
                <w:sz w:val="24"/>
                <w:szCs w:val="24"/>
                <w:lang w:bidi="ar"/>
              </w:rPr>
              <w:t>环境质量底线</w:t>
            </w:r>
          </w:p>
          <w:p>
            <w:pPr>
              <w:keepNext w:val="0"/>
              <w:keepLines w:val="0"/>
              <w:pageBreakBefore w:val="0"/>
              <w:kinsoku/>
              <w:wordWrap/>
              <w:overflowPunct/>
              <w:topLinePunct w:val="0"/>
              <w:autoSpaceDE/>
              <w:autoSpaceDN/>
              <w:bidi w:val="0"/>
              <w:spacing w:line="360" w:lineRule="auto"/>
              <w:ind w:firstLine="480" w:firstLineChars="200"/>
              <w:textAlignment w:val="auto"/>
              <w:rPr>
                <w:color w:val="auto"/>
                <w:sz w:val="24"/>
                <w:szCs w:val="24"/>
              </w:rPr>
            </w:pPr>
            <w:r>
              <w:rPr>
                <w:color w:val="auto"/>
                <w:kern w:val="0"/>
                <w:sz w:val="24"/>
                <w:szCs w:val="24"/>
                <w:lang w:bidi="ar"/>
              </w:rPr>
              <w:t>项目所在地满足《环境空气质量标准》（GB3095-2012）中二级标准；附近地表水满足《地表水环境质量标准》（GB3838-2002）中Ⅲ类标准要求；声环境达到《声环境质量标准》（GB3096-2008）</w:t>
            </w:r>
            <w:r>
              <w:rPr>
                <w:rFonts w:hint="eastAsia"/>
                <w:color w:val="auto"/>
                <w:kern w:val="0"/>
                <w:sz w:val="24"/>
                <w:szCs w:val="24"/>
                <w:lang w:bidi="ar"/>
              </w:rPr>
              <w:t>3</w:t>
            </w:r>
            <w:r>
              <w:rPr>
                <w:color w:val="auto"/>
                <w:kern w:val="0"/>
                <w:sz w:val="24"/>
                <w:szCs w:val="24"/>
                <w:lang w:bidi="ar"/>
              </w:rPr>
              <w:t>类功能区标准。</w:t>
            </w:r>
            <w:r>
              <w:rPr>
                <w:rFonts w:hint="eastAsia"/>
                <w:color w:val="auto"/>
                <w:kern w:val="0"/>
                <w:sz w:val="24"/>
                <w:szCs w:val="24"/>
                <w:lang w:val="en-US" w:eastAsia="zh-CN" w:bidi="ar"/>
              </w:rPr>
              <w:t>项目</w:t>
            </w:r>
            <w:r>
              <w:rPr>
                <w:rFonts w:hint="eastAsia"/>
                <w:color w:val="auto"/>
                <w:kern w:val="0"/>
                <w:sz w:val="24"/>
                <w:szCs w:val="24"/>
                <w:lang w:bidi="ar"/>
              </w:rPr>
              <w:t>环境空气、地表水、声环境均满足环境功能区划要求，尚有一定的剩余环境容量，项目实施后，其污染物排放对周围环境的影响不会改变所在地及其周围居民区的环境功能，其对周围环境无明显的环境影响，符合环境底线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color w:val="auto"/>
                <w:kern w:val="0"/>
                <w:sz w:val="24"/>
                <w:szCs w:val="24"/>
                <w:lang w:bidi="ar"/>
              </w:rPr>
            </w:pPr>
            <w:r>
              <w:rPr>
                <w:rFonts w:hint="eastAsia"/>
                <w:color w:val="auto"/>
                <w:kern w:val="0"/>
                <w:sz w:val="24"/>
                <w:szCs w:val="24"/>
                <w:lang w:bidi="ar"/>
              </w:rPr>
              <w:t>（3）</w:t>
            </w:r>
            <w:r>
              <w:rPr>
                <w:color w:val="auto"/>
                <w:kern w:val="0"/>
                <w:sz w:val="24"/>
                <w:szCs w:val="24"/>
                <w:lang w:bidi="ar"/>
              </w:rPr>
              <w:t>资源利用上线</w:t>
            </w:r>
          </w:p>
          <w:p>
            <w:pPr>
              <w:pStyle w:val="70"/>
              <w:bidi w:val="0"/>
              <w:rPr>
                <w:rFonts w:hint="default" w:ascii="Times New Roman" w:hAnsi="Times New Roman" w:eastAsia="宋体" w:cs="宋体"/>
                <w:color w:val="auto"/>
              </w:rPr>
            </w:pPr>
            <w:r>
              <w:rPr>
                <w:rFonts w:hint="default" w:ascii="Times New Roman" w:hAnsi="Times New Roman" w:eastAsia="宋体" w:cs="宋体"/>
                <w:color w:val="auto"/>
              </w:rPr>
              <w:t>本项目不属于高能耗、高污染、资源型企业，用水来自市政供水管网，用电来自市政供电。建成运行后通过内部管理、设备选择、原辅材料的选用和管理、废物回收利用、污染治理等多方面采取合理可行的防治措施，以“节能、降耗、减污”为目标，有效的控制污染。水、电等资源利用不会突破区域的资源利用上线。</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color w:val="auto"/>
                <w:sz w:val="24"/>
                <w:szCs w:val="24"/>
              </w:rPr>
            </w:pPr>
            <w:r>
              <w:rPr>
                <w:rFonts w:hint="eastAsia"/>
                <w:color w:val="auto"/>
                <w:kern w:val="0"/>
                <w:sz w:val="24"/>
                <w:szCs w:val="24"/>
                <w:lang w:bidi="ar"/>
              </w:rPr>
              <w:t>（4）</w:t>
            </w:r>
            <w:r>
              <w:rPr>
                <w:color w:val="auto"/>
                <w:kern w:val="0"/>
                <w:sz w:val="24"/>
                <w:szCs w:val="24"/>
                <w:lang w:bidi="ar"/>
              </w:rPr>
              <w:t>环境准入负面清单</w:t>
            </w:r>
          </w:p>
          <w:p>
            <w:pPr>
              <w:pStyle w:val="70"/>
              <w:bidi w:val="0"/>
              <w:rPr>
                <w:rFonts w:ascii="Times New Roman" w:hAnsi="Times New Roman" w:eastAsia="宋体" w:cs="宋体"/>
                <w:color w:val="auto"/>
              </w:rPr>
            </w:pPr>
            <w:r>
              <w:rPr>
                <w:rFonts w:ascii="Times New Roman" w:hAnsi="Times New Roman" w:eastAsia="宋体" w:cs="宋体"/>
                <w:color w:val="auto"/>
              </w:rPr>
              <w:t>本项目为</w:t>
            </w:r>
            <w:r>
              <w:rPr>
                <w:rFonts w:hint="eastAsia" w:ascii="Times New Roman" w:hAnsi="Times New Roman" w:eastAsia="宋体" w:cs="宋体"/>
                <w:color w:val="auto"/>
              </w:rPr>
              <w:t>光学仪器制造</w:t>
            </w:r>
            <w:r>
              <w:rPr>
                <w:rFonts w:ascii="Times New Roman" w:hAnsi="Times New Roman" w:eastAsia="宋体" w:cs="宋体"/>
                <w:color w:val="auto"/>
              </w:rPr>
              <w:t>，</w:t>
            </w:r>
            <w:r>
              <w:rPr>
                <w:rFonts w:hint="eastAsia" w:ascii="Times New Roman" w:hAnsi="Times New Roman" w:eastAsia="宋体" w:cs="宋体"/>
                <w:color w:val="auto"/>
              </w:rPr>
              <w:t>位于光学光伏组团，</w:t>
            </w:r>
            <w:r>
              <w:rPr>
                <w:rFonts w:ascii="Times New Roman" w:hAnsi="Times New Roman" w:eastAsia="宋体" w:cs="宋体"/>
                <w:color w:val="auto"/>
              </w:rPr>
              <w:t>根据</w:t>
            </w:r>
            <w:r>
              <w:rPr>
                <w:rFonts w:hint="eastAsia" w:ascii="Times New Roman" w:hAnsi="Times New Roman" w:eastAsia="宋体" w:cs="宋体"/>
                <w:color w:val="auto"/>
              </w:rPr>
              <w:t>上饶经济技术开发区</w:t>
            </w:r>
            <w:r>
              <w:rPr>
                <w:rFonts w:ascii="Times New Roman" w:hAnsi="Times New Roman" w:eastAsia="宋体" w:cs="宋体"/>
                <w:color w:val="auto"/>
              </w:rPr>
              <w:t>规划产业禁止及限制准入负面清单，不在该功能区的负面清单内，满足规划要求。</w:t>
            </w:r>
          </w:p>
          <w:p>
            <w:pPr>
              <w:pStyle w:val="70"/>
              <w:bidi w:val="0"/>
              <w:rPr>
                <w:rFonts w:ascii="Times New Roman" w:hAnsi="Times New Roman" w:eastAsia="宋体" w:cs="宋体"/>
                <w:color w:val="auto"/>
              </w:rPr>
            </w:pPr>
            <w:r>
              <w:rPr>
                <w:rFonts w:hint="eastAsia" w:ascii="Times New Roman" w:hAnsi="Times New Roman" w:eastAsia="宋体" w:cs="Times New Roman"/>
                <w:kern w:val="0"/>
                <w:sz w:val="24"/>
                <w:szCs w:val="24"/>
                <w:lang w:eastAsia="zh-CN"/>
              </w:rPr>
              <w:t>根据《关于发布上饶市“三线一单”各管控单元生态环境准入清单的通知》（饶环字〔2021〕2号）要求，本项目位于上饶市上饶经济技术开发区重点管控单元1（环境管控单元编码：ZH36110420008）。</w:t>
            </w:r>
            <w:r>
              <w:rPr>
                <w:rFonts w:hint="eastAsia" w:ascii="Times New Roman" w:hAnsi="Times New Roman" w:eastAsia="宋体" w:cs="宋体"/>
                <w:color w:val="auto"/>
              </w:rPr>
              <w:t>具体要求详见下表。</w:t>
            </w:r>
          </w:p>
          <w:p>
            <w:pPr>
              <w:pStyle w:val="67"/>
              <w:rPr>
                <w:rFonts w:ascii="Times New Roman" w:hAnsi="Times New Roman" w:eastAsia="宋体" w:cs="宋体"/>
                <w:color w:val="auto"/>
              </w:rPr>
            </w:pPr>
            <w:r>
              <w:rPr>
                <w:rFonts w:hint="eastAsia" w:ascii="Times New Roman" w:hAnsi="Times New Roman" w:eastAsia="宋体" w:cs="宋体"/>
                <w:color w:val="auto"/>
              </w:rPr>
              <w:t>表1-</w:t>
            </w:r>
            <w:r>
              <w:rPr>
                <w:rFonts w:hint="eastAsia" w:cs="宋体"/>
                <w:color w:val="auto"/>
                <w:lang w:val="en-US" w:eastAsia="zh-CN"/>
              </w:rPr>
              <w:t>2</w:t>
            </w:r>
            <w:r>
              <w:rPr>
                <w:rFonts w:hint="eastAsia" w:ascii="Times New Roman" w:hAnsi="Times New Roman" w:eastAsia="宋体" w:cs="宋体"/>
                <w:color w:val="auto"/>
              </w:rPr>
              <w:t xml:space="preserve"> </w:t>
            </w:r>
            <w:r>
              <w:rPr>
                <w:rFonts w:hint="eastAsia"/>
                <w:b/>
                <w:bCs/>
                <w:color w:val="000000"/>
                <w:sz w:val="21"/>
                <w:szCs w:val="21"/>
              </w:rPr>
              <w:t>上饶市上饶经济技术开发区生态环境准入清单</w:t>
            </w:r>
          </w:p>
          <w:tbl>
            <w:tblPr>
              <w:tblStyle w:val="27"/>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06"/>
              <w:gridCol w:w="1019"/>
              <w:gridCol w:w="4031"/>
              <w:gridCol w:w="1210"/>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序号</w:t>
                  </w:r>
                </w:p>
              </w:tc>
              <w:tc>
                <w:tcPr>
                  <w:tcW w:w="474"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纬度</w:t>
                  </w:r>
                </w:p>
              </w:tc>
              <w:tc>
                <w:tcPr>
                  <w:tcW w:w="685"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清单编制要求</w:t>
                  </w:r>
                </w:p>
              </w:tc>
              <w:tc>
                <w:tcPr>
                  <w:tcW w:w="2709"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准入清单</w:t>
                  </w:r>
                </w:p>
              </w:tc>
              <w:tc>
                <w:tcPr>
                  <w:tcW w:w="813" w:type="pct"/>
                  <w:vAlign w:val="center"/>
                </w:tcPr>
                <w:p>
                  <w:pPr>
                    <w:pStyle w:val="69"/>
                    <w:rPr>
                      <w:rFonts w:ascii="Times New Roman" w:hAnsi="Times New Roman" w:eastAsia="宋体" w:cs="宋体"/>
                      <w:b/>
                      <w:bCs/>
                      <w:color w:val="auto"/>
                    </w:rPr>
                  </w:pPr>
                  <w:r>
                    <w:rPr>
                      <w:rFonts w:ascii="Times New Roman" w:hAnsi="Times New Roman" w:eastAsia="宋体" w:cs="宋体"/>
                      <w:b/>
                      <w:bCs/>
                      <w:color w:val="auto"/>
                    </w:rPr>
                    <w:t>项目</w:t>
                  </w:r>
                  <w:r>
                    <w:rPr>
                      <w:rFonts w:hint="eastAsia" w:ascii="Times New Roman" w:hAnsi="Times New Roman" w:eastAsia="宋体" w:cs="宋体"/>
                      <w:b/>
                      <w:bCs/>
                      <w:color w:val="auto"/>
                    </w:rPr>
                    <w:t>情况</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1</w:t>
                  </w:r>
                </w:p>
              </w:tc>
              <w:tc>
                <w:tcPr>
                  <w:tcW w:w="474" w:type="pct"/>
                  <w:vAlign w:val="center"/>
                </w:tcPr>
                <w:p>
                  <w:pPr>
                    <w:pStyle w:val="69"/>
                    <w:rPr>
                      <w:rFonts w:ascii="Times New Roman" w:hAnsi="Times New Roman" w:eastAsia="宋体" w:cs="宋体"/>
                      <w:color w:val="auto"/>
                    </w:rPr>
                  </w:pPr>
                  <w:r>
                    <w:rPr>
                      <w:rFonts w:ascii="Times New Roman" w:hAnsi="Times New Roman" w:eastAsia="宋体" w:cs="宋体"/>
                      <w:color w:val="auto"/>
                    </w:rPr>
                    <w:t>空间布局约束</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限制开发建设活动的要求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1.信江1公里范围内禁止新建重化工项目。</w:t>
                  </w:r>
                </w:p>
                <w:p>
                  <w:pPr>
                    <w:pStyle w:val="69"/>
                    <w:rPr>
                      <w:rFonts w:ascii="Times New Roman" w:hAnsi="Times New Roman" w:eastAsia="宋体" w:cs="宋体"/>
                      <w:color w:val="auto"/>
                    </w:rPr>
                  </w:pPr>
                  <w:r>
                    <w:rPr>
                      <w:rFonts w:ascii="Times New Roman" w:hAnsi="Times New Roman" w:eastAsia="宋体" w:cs="宋体"/>
                      <w:color w:val="auto"/>
                    </w:rPr>
                    <w:t>2.园区规划汽车制造片区与周边居民集中区留足缓冲地带﹐缓冲区域内不得新建汽车（涂装）项目。</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不涉及</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2</w:t>
                  </w:r>
                </w:p>
              </w:tc>
              <w:tc>
                <w:tcPr>
                  <w:tcW w:w="474" w:type="pct"/>
                  <w:vMerge w:val="restart"/>
                  <w:vAlign w:val="center"/>
                </w:tcPr>
                <w:p>
                  <w:pPr>
                    <w:pStyle w:val="69"/>
                    <w:rPr>
                      <w:rFonts w:ascii="Times New Roman" w:hAnsi="Times New Roman" w:eastAsia="宋体" w:cs="宋体"/>
                      <w:color w:val="auto"/>
                    </w:rPr>
                  </w:pPr>
                  <w:r>
                    <w:rPr>
                      <w:rFonts w:ascii="Times New Roman" w:hAnsi="Times New Roman" w:eastAsia="宋体" w:cs="宋体"/>
                      <w:color w:val="auto"/>
                    </w:rPr>
                    <w:t>污染物排放管控</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新增源等量或倍量替代</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1.新、改﹑扩建涉重金属重点行业建设项目重点重金属污染物排放减量置换或等量替换。</w:t>
                  </w:r>
                </w:p>
                <w:p>
                  <w:pPr>
                    <w:pStyle w:val="69"/>
                    <w:rPr>
                      <w:rFonts w:ascii="Times New Roman" w:hAnsi="Times New Roman" w:eastAsia="宋体" w:cs="宋体"/>
                      <w:color w:val="auto"/>
                    </w:rPr>
                  </w:pPr>
                  <w:r>
                    <w:rPr>
                      <w:rFonts w:ascii="Times New Roman" w:hAnsi="Times New Roman" w:eastAsia="宋体" w:cs="宋体"/>
                      <w:color w:val="auto"/>
                    </w:rPr>
                    <w:t>2.若上―年度环境空气质量年平均浓度、水环境质量不达标，相关污染物进行2倍削减替代；其中，细颗粒物（PM</w:t>
                  </w:r>
                  <w:r>
                    <w:rPr>
                      <w:rFonts w:ascii="Times New Roman" w:hAnsi="Times New Roman" w:eastAsia="宋体" w:cs="宋体"/>
                      <w:color w:val="auto"/>
                      <w:vertAlign w:val="subscript"/>
                    </w:rPr>
                    <w:t>2.5</w:t>
                  </w:r>
                  <w:r>
                    <w:rPr>
                      <w:rFonts w:ascii="Times New Roman" w:hAnsi="Times New Roman" w:eastAsia="宋体" w:cs="宋体"/>
                      <w:color w:val="auto"/>
                    </w:rPr>
                    <w:t>）年平均浓度不达标的，二氧化硫、氮氧化物、烟粉尘、挥发性有机物四项污染物进行2倍削减替代。</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本项目不属于涉</w:t>
                  </w:r>
                  <w:r>
                    <w:rPr>
                      <w:rFonts w:ascii="Times New Roman" w:hAnsi="Times New Roman" w:eastAsia="宋体" w:cs="宋体"/>
                      <w:color w:val="auto"/>
                    </w:rPr>
                    <w:t>重金属重点行业</w:t>
                  </w:r>
                  <w:r>
                    <w:rPr>
                      <w:rFonts w:hint="eastAsia" w:ascii="Times New Roman" w:hAnsi="Times New Roman" w:eastAsia="宋体" w:cs="宋体"/>
                      <w:color w:val="auto"/>
                    </w:rPr>
                    <w:t>，</w:t>
                  </w:r>
                  <w:r>
                    <w:rPr>
                      <w:rFonts w:ascii="Times New Roman" w:hAnsi="Times New Roman" w:eastAsia="宋体" w:cs="宋体"/>
                      <w:color w:val="auto"/>
                    </w:rPr>
                    <w:t>项目</w:t>
                  </w:r>
                  <w:r>
                    <w:rPr>
                      <w:rFonts w:hint="eastAsia" w:ascii="Times New Roman" w:hAnsi="Times New Roman" w:eastAsia="宋体" w:cs="宋体"/>
                      <w:color w:val="auto"/>
                    </w:rPr>
                    <w:t>所在地</w:t>
                  </w:r>
                  <w:r>
                    <w:rPr>
                      <w:rFonts w:ascii="Times New Roman" w:hAnsi="Times New Roman" w:eastAsia="宋体" w:cs="宋体"/>
                      <w:color w:val="auto"/>
                    </w:rPr>
                    <w:t>环境空气质量和</w:t>
                  </w:r>
                  <w:r>
                    <w:rPr>
                      <w:rFonts w:hint="eastAsia" w:ascii="Times New Roman" w:hAnsi="Times New Roman" w:eastAsia="宋体" w:cs="宋体"/>
                      <w:color w:val="auto"/>
                    </w:rPr>
                    <w:t>地表</w:t>
                  </w:r>
                  <w:r>
                    <w:rPr>
                      <w:rFonts w:ascii="Times New Roman" w:hAnsi="Times New Roman" w:eastAsia="宋体" w:cs="宋体"/>
                      <w:color w:val="auto"/>
                    </w:rPr>
                    <w:t>水环境质量均达标</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3</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新增源排放标</w:t>
                  </w:r>
                </w:p>
                <w:p>
                  <w:pPr>
                    <w:pStyle w:val="69"/>
                    <w:rPr>
                      <w:rFonts w:ascii="Times New Roman" w:hAnsi="Times New Roman" w:eastAsia="宋体" w:cs="宋体"/>
                      <w:color w:val="auto"/>
                    </w:rPr>
                  </w:pPr>
                  <w:r>
                    <w:rPr>
                      <w:rFonts w:ascii="Times New Roman" w:hAnsi="Times New Roman" w:eastAsia="宋体" w:cs="宋体"/>
                      <w:color w:val="auto"/>
                    </w:rPr>
                    <w:t>准限值</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新建各类建设项目，其排放污染物应达到相应行业排放限值、《大气污染物综合排放标准》二级、《污水综合排放标准》一级、《城镇污水处理厂污染物排放标准》—级B等排放限值或集中污水处理厂纳管限值要求。</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本项目排放污染物均可达到相关标准</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4</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污染物排放绩效水平准入要求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污染物排放绩效水平应达到国内先进</w:t>
                  </w:r>
                </w:p>
                <w:p>
                  <w:pPr>
                    <w:pStyle w:val="69"/>
                    <w:rPr>
                      <w:rFonts w:ascii="Times New Roman" w:hAnsi="Times New Roman" w:eastAsia="宋体" w:cs="宋体"/>
                      <w:color w:val="auto"/>
                    </w:rPr>
                  </w:pPr>
                  <w:r>
                    <w:rPr>
                      <w:rFonts w:ascii="Times New Roman" w:hAnsi="Times New Roman" w:eastAsia="宋体" w:cs="宋体"/>
                      <w:color w:val="auto"/>
                    </w:rPr>
                    <w:t>水平。</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5</w:t>
                  </w:r>
                </w:p>
              </w:tc>
              <w:tc>
                <w:tcPr>
                  <w:tcW w:w="474" w:type="pct"/>
                  <w:vMerge w:val="restart"/>
                  <w:vAlign w:val="center"/>
                </w:tcPr>
                <w:p>
                  <w:pPr>
                    <w:pStyle w:val="69"/>
                    <w:rPr>
                      <w:rFonts w:ascii="Times New Roman" w:hAnsi="Times New Roman" w:eastAsia="宋体" w:cs="宋体"/>
                      <w:color w:val="auto"/>
                    </w:rPr>
                  </w:pPr>
                  <w:r>
                    <w:rPr>
                      <w:rFonts w:ascii="Times New Roman" w:hAnsi="Times New Roman" w:eastAsia="宋体" w:cs="宋体"/>
                      <w:color w:val="auto"/>
                    </w:rPr>
                    <w:t>环境风险防控</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用地环境风险防控要求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已污染地块，应当依法开展土壤污染状况调查﹑治理与修复，符合相应用地土壤环境质量要求后，方可进入用地程序。</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本项目厂址不属于已污染地块</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6</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园区环境风险防控要求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1.紧邻居住﹑科教﹑医院等环境敏感点的工业用地，禁止新建环境风险等级为Ⅳ的建设项目。</w:t>
                  </w:r>
                </w:p>
                <w:p>
                  <w:pPr>
                    <w:pStyle w:val="69"/>
                    <w:rPr>
                      <w:rFonts w:ascii="Times New Roman" w:hAnsi="Times New Roman" w:eastAsia="宋体" w:cs="宋体"/>
                      <w:color w:val="auto"/>
                    </w:rPr>
                  </w:pPr>
                  <w:r>
                    <w:rPr>
                      <w:rFonts w:ascii="Times New Roman" w:hAnsi="Times New Roman" w:eastAsia="宋体" w:cs="宋体"/>
                      <w:color w:val="auto"/>
                    </w:rPr>
                    <w:t>2.开发区应建立水、大气三级环境风险防控体系。</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本项目环境风险等级为I</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7</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企业环境风险防控要求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1.生产、存储危险化学品及产生大量废水的企业﹐应配套有效措施，防止因渗漏污染地下水、土壤,以及因事故废水直排污染地表水体。</w:t>
                  </w:r>
                </w:p>
                <w:p>
                  <w:pPr>
                    <w:pStyle w:val="69"/>
                    <w:rPr>
                      <w:rFonts w:ascii="Times New Roman" w:hAnsi="Times New Roman" w:eastAsia="宋体" w:cs="宋体"/>
                      <w:color w:val="auto"/>
                    </w:rPr>
                  </w:pPr>
                  <w:r>
                    <w:rPr>
                      <w:rFonts w:ascii="Times New Roman" w:hAnsi="Times New Roman" w:eastAsia="宋体" w:cs="宋体"/>
                      <w:color w:val="auto"/>
                    </w:rPr>
                    <w:t>2.产生、利用或处置固体废物《含危险废物)的企业，在贮存、转移、利用、处置固体废物(含危险废物）过程中，应配套防扬散﹑防流失、防渗漏及其他防止污染环境的措施。</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本评价要求建设单位做好防扬散﹑防流失、防渗漏</w:t>
                  </w:r>
                  <w:r>
                    <w:rPr>
                      <w:rFonts w:hint="eastAsia" w:ascii="Times New Roman" w:hAnsi="Times New Roman" w:eastAsia="宋体" w:cs="宋体"/>
                      <w:color w:val="auto"/>
                    </w:rPr>
                    <w:t>等</w:t>
                  </w:r>
                  <w:r>
                    <w:rPr>
                      <w:rFonts w:ascii="Times New Roman" w:hAnsi="Times New Roman" w:eastAsia="宋体" w:cs="宋体"/>
                      <w:color w:val="auto"/>
                    </w:rPr>
                    <w:t>措施</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8</w:t>
                  </w:r>
                </w:p>
              </w:tc>
              <w:tc>
                <w:tcPr>
                  <w:tcW w:w="474" w:type="pct"/>
                  <w:vMerge w:val="restart"/>
                  <w:vAlign w:val="center"/>
                </w:tcPr>
                <w:p>
                  <w:pPr>
                    <w:pStyle w:val="69"/>
                    <w:rPr>
                      <w:rFonts w:ascii="Times New Roman" w:hAnsi="Times New Roman" w:eastAsia="宋体" w:cs="宋体"/>
                      <w:color w:val="auto"/>
                    </w:rPr>
                  </w:pPr>
                  <w:r>
                    <w:rPr>
                      <w:rFonts w:ascii="Times New Roman" w:hAnsi="Times New Roman" w:eastAsia="宋体" w:cs="宋体"/>
                      <w:color w:val="auto"/>
                    </w:rPr>
                    <w:t>资源利用效率要求</w:t>
                  </w: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水资源利用效率要求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1.园区工业用水重复利用率不得低于80%。</w:t>
                  </w:r>
                </w:p>
                <w:p>
                  <w:pPr>
                    <w:pStyle w:val="69"/>
                    <w:rPr>
                      <w:rFonts w:ascii="Times New Roman" w:hAnsi="Times New Roman" w:eastAsia="宋体" w:cs="宋体"/>
                      <w:color w:val="auto"/>
                    </w:rPr>
                  </w:pPr>
                  <w:r>
                    <w:rPr>
                      <w:rFonts w:ascii="Times New Roman" w:hAnsi="Times New Roman" w:eastAsia="宋体" w:cs="宋体"/>
                      <w:color w:val="auto"/>
                    </w:rPr>
                    <w:t>2.到2020年，万元国内生产总值用水量比2015年下降35%。</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9</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能源利用效率要求</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到2020年，万元国内生产总值能耗比2015年下降16%。</w:t>
                  </w:r>
                </w:p>
              </w:tc>
              <w:tc>
                <w:tcPr>
                  <w:tcW w:w="813" w:type="pct"/>
                  <w:vAlign w:val="center"/>
                </w:tcPr>
                <w:p>
                  <w:pPr>
                    <w:pStyle w:val="69"/>
                    <w:rPr>
                      <w:rFonts w:ascii="Times New Roman" w:hAnsi="Times New Roman" w:eastAsia="宋体" w:cs="宋体"/>
                      <w:color w:val="auto"/>
                    </w:rPr>
                  </w:pPr>
                  <w:r>
                    <w:rPr>
                      <w:rFonts w:ascii="Times New Roman" w:hAnsi="Times New Roman" w:eastAsia="宋体" w:cs="宋体"/>
                      <w:color w:val="auto"/>
                    </w:rPr>
                    <w:t>/</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pStyle w:val="69"/>
                    <w:rPr>
                      <w:rFonts w:ascii="Times New Roman" w:hAnsi="Times New Roman" w:eastAsia="宋体" w:cs="宋体"/>
                      <w:color w:val="auto"/>
                    </w:rPr>
                  </w:pPr>
                  <w:r>
                    <w:rPr>
                      <w:rFonts w:ascii="Times New Roman" w:hAnsi="Times New Roman" w:eastAsia="宋体" w:cs="宋体"/>
                      <w:color w:val="auto"/>
                    </w:rPr>
                    <w:t>10</w:t>
                  </w:r>
                </w:p>
              </w:tc>
              <w:tc>
                <w:tcPr>
                  <w:tcW w:w="474" w:type="pct"/>
                  <w:vMerge w:val="continue"/>
                  <w:vAlign w:val="center"/>
                </w:tcPr>
                <w:p>
                  <w:pPr>
                    <w:pStyle w:val="69"/>
                    <w:rPr>
                      <w:rFonts w:ascii="Times New Roman" w:hAnsi="Times New Roman" w:eastAsia="宋体" w:cs="宋体"/>
                      <w:color w:val="auto"/>
                    </w:rPr>
                  </w:pPr>
                </w:p>
              </w:tc>
              <w:tc>
                <w:tcPr>
                  <w:tcW w:w="685" w:type="pct"/>
                  <w:vAlign w:val="center"/>
                </w:tcPr>
                <w:p>
                  <w:pPr>
                    <w:pStyle w:val="69"/>
                    <w:rPr>
                      <w:rFonts w:ascii="Times New Roman" w:hAnsi="Times New Roman" w:eastAsia="宋体" w:cs="宋体"/>
                      <w:color w:val="auto"/>
                    </w:rPr>
                  </w:pPr>
                  <w:r>
                    <w:rPr>
                      <w:rFonts w:ascii="Times New Roman" w:hAnsi="Times New Roman" w:eastAsia="宋体" w:cs="宋体"/>
                      <w:color w:val="auto"/>
                    </w:rPr>
                    <w:t>涉及岸线类别</w:t>
                  </w:r>
                </w:p>
              </w:tc>
              <w:tc>
                <w:tcPr>
                  <w:tcW w:w="2709" w:type="pct"/>
                  <w:vAlign w:val="center"/>
                </w:tcPr>
                <w:p>
                  <w:pPr>
                    <w:pStyle w:val="69"/>
                    <w:rPr>
                      <w:rFonts w:ascii="Times New Roman" w:hAnsi="Times New Roman" w:eastAsia="宋体" w:cs="宋体"/>
                      <w:color w:val="auto"/>
                    </w:rPr>
                  </w:pPr>
                  <w:r>
                    <w:rPr>
                      <w:rFonts w:ascii="Times New Roman" w:hAnsi="Times New Roman" w:eastAsia="宋体" w:cs="宋体"/>
                      <w:color w:val="auto"/>
                    </w:rPr>
                    <w:t>一般管控岸线。</w:t>
                  </w:r>
                </w:p>
              </w:tc>
              <w:tc>
                <w:tcPr>
                  <w:tcW w:w="813"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color w:val="auto"/>
              </w:rPr>
            </w:pPr>
            <w:r>
              <w:rPr>
                <w:rFonts w:hint="eastAsia" w:ascii="Times New Roman" w:hAnsi="Times New Roman" w:eastAsia="宋体" w:cs="宋体"/>
                <w:color w:val="auto"/>
              </w:rPr>
              <w:t>综上，本项目建设符合本项目不涉及生态保护红线，符合“三线一单”的要求。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olor w:val="auto"/>
                <w:kern w:val="0"/>
                <w:sz w:val="24"/>
                <w:szCs w:val="24"/>
                <w:lang w:val="en-US" w:eastAsia="zh-CN" w:bidi="ar"/>
              </w:rPr>
            </w:pPr>
            <w:r>
              <w:rPr>
                <w:rFonts w:hint="eastAsia"/>
                <w:color w:val="auto"/>
                <w:kern w:val="0"/>
                <w:sz w:val="24"/>
                <w:szCs w:val="24"/>
                <w:lang w:val="en-US" w:eastAsia="zh-CN" w:bidi="ar"/>
              </w:rPr>
              <w:t>2、产业政策相符性</w:t>
            </w:r>
          </w:p>
          <w:p>
            <w:pPr>
              <w:pStyle w:val="70"/>
              <w:bidi w:val="0"/>
              <w:rPr>
                <w:rFonts w:ascii="Times New Roman" w:hAnsi="Times New Roman" w:eastAsia="宋体" w:cs="宋体"/>
                <w:color w:val="auto"/>
              </w:rPr>
            </w:pPr>
            <w:r>
              <w:rPr>
                <w:rFonts w:ascii="Times New Roman" w:hAnsi="Times New Roman" w:eastAsia="宋体" w:cs="宋体"/>
                <w:color w:val="auto"/>
              </w:rPr>
              <w:t>本项目属于</w:t>
            </w:r>
            <w:r>
              <w:rPr>
                <w:rFonts w:hint="eastAsia" w:ascii="Times New Roman" w:hAnsi="Times New Roman" w:eastAsia="宋体" w:cs="宋体"/>
                <w:color w:val="auto"/>
              </w:rPr>
              <w:t>光学仪器制造</w:t>
            </w:r>
            <w:r>
              <w:rPr>
                <w:rFonts w:ascii="Times New Roman" w:hAnsi="Times New Roman" w:eastAsia="宋体" w:cs="宋体"/>
                <w:color w:val="auto"/>
              </w:rPr>
              <w:t>业</w:t>
            </w:r>
            <w:r>
              <w:rPr>
                <w:rFonts w:hint="eastAsia" w:ascii="Times New Roman" w:hAnsi="Times New Roman" w:eastAsia="宋体" w:cs="宋体"/>
                <w:color w:val="auto"/>
              </w:rPr>
              <w:t>，在光学光伏组团范围内</w:t>
            </w:r>
            <w:r>
              <w:rPr>
                <w:rFonts w:hint="eastAsia" w:ascii="Times New Roman" w:hAnsi="Times New Roman" w:eastAsia="宋体" w:cs="宋体"/>
                <w:color w:val="auto"/>
                <w:lang w:eastAsia="zh-CN"/>
              </w:rPr>
              <w:t>。</w:t>
            </w:r>
            <w:r>
              <w:rPr>
                <w:rFonts w:ascii="Times New Roman" w:hAnsi="Times New Roman" w:eastAsia="宋体" w:cs="宋体"/>
                <w:color w:val="auto"/>
              </w:rPr>
              <w:t>按照《产业结构调整指导目录</w:t>
            </w:r>
            <w:r>
              <w:rPr>
                <w:rFonts w:hint="eastAsia" w:ascii="Times New Roman" w:hAnsi="Times New Roman" w:eastAsia="宋体" w:cs="宋体"/>
                <w:color w:val="auto"/>
              </w:rPr>
              <w:t>（</w:t>
            </w:r>
            <w:r>
              <w:rPr>
                <w:rFonts w:hint="eastAsia" w:cs="宋体"/>
                <w:color w:val="auto"/>
                <w:lang w:val="en-US" w:eastAsia="zh-CN"/>
              </w:rPr>
              <w:t>2019年版</w:t>
            </w:r>
            <w:r>
              <w:rPr>
                <w:rFonts w:hint="eastAsia" w:ascii="Times New Roman" w:hAnsi="Times New Roman" w:eastAsia="宋体" w:cs="宋体"/>
                <w:color w:val="auto"/>
              </w:rPr>
              <w:t>）</w:t>
            </w:r>
            <w:r>
              <w:rPr>
                <w:rFonts w:ascii="Times New Roman" w:hAnsi="Times New Roman" w:eastAsia="宋体" w:cs="宋体"/>
                <w:color w:val="auto"/>
              </w:rPr>
              <w:t>》，本项目不属于鼓励类、限制类、淘汰类，工艺中所使用的设备，未列入国家淘汰类和限制类设备产品目录，符合国家产业政策相关规定。</w:t>
            </w:r>
          </w:p>
          <w:p>
            <w:pPr>
              <w:pStyle w:val="70"/>
              <w:bidi w:val="0"/>
              <w:rPr>
                <w:rFonts w:ascii="Times New Roman" w:hAnsi="Times New Roman" w:eastAsia="宋体" w:cs="宋体"/>
                <w:color w:val="auto"/>
              </w:rPr>
            </w:pPr>
            <w:r>
              <w:rPr>
                <w:rFonts w:hint="eastAsia"/>
                <w:color w:val="auto"/>
                <w:sz w:val="24"/>
                <w:szCs w:val="24"/>
                <w:lang w:val="en-US" w:eastAsia="zh-CN"/>
              </w:rPr>
              <w:t>同时，上饶经济技术经开区经济发展局已对项目进行了备案（备案号：</w:t>
            </w:r>
            <w:r>
              <w:rPr>
                <w:rFonts w:hint="default" w:ascii="Times New Roman" w:hAnsi="Times New Roman" w:cs="Times New Roman"/>
                <w:sz w:val="24"/>
                <w:szCs w:val="24"/>
                <w:lang w:val="en-US"/>
              </w:rPr>
              <w:t>2210-361199-04-01-660231</w:t>
            </w:r>
            <w:r>
              <w:rPr>
                <w:rFonts w:hint="eastAsia"/>
                <w:color w:val="auto"/>
                <w:sz w:val="24"/>
                <w:szCs w:val="24"/>
                <w:lang w:val="en-US" w:eastAsia="zh-CN"/>
              </w:rPr>
              <w:t>）</w:t>
            </w:r>
            <w:r>
              <w:rPr>
                <w:rFonts w:hint="eastAsia" w:cs="宋体"/>
                <w:color w:val="auto"/>
                <w:lang w:val="en-US" w:eastAsia="zh-CN"/>
              </w:rPr>
              <w:t>，</w:t>
            </w:r>
            <w:r>
              <w:rPr>
                <w:rFonts w:ascii="Times New Roman" w:hAnsi="Times New Roman" w:eastAsia="宋体" w:cs="宋体"/>
                <w:color w:val="auto"/>
              </w:rPr>
              <w:t>因此，该项目符合国家的产业政策及当地相关政策。</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olor w:val="auto"/>
                <w:kern w:val="0"/>
                <w:sz w:val="24"/>
                <w:szCs w:val="24"/>
                <w:lang w:val="en-US" w:eastAsia="zh-CN" w:bidi="ar"/>
              </w:rPr>
            </w:pPr>
            <w:r>
              <w:rPr>
                <w:rFonts w:hint="eastAsia"/>
                <w:color w:val="auto"/>
                <w:kern w:val="0"/>
                <w:sz w:val="24"/>
                <w:szCs w:val="24"/>
                <w:lang w:val="en-US" w:eastAsia="zh-CN" w:bidi="ar"/>
              </w:rPr>
              <w:t>3、选址合理性分析</w:t>
            </w:r>
          </w:p>
          <w:p>
            <w:pPr>
              <w:keepNext w:val="0"/>
              <w:keepLines w:val="0"/>
              <w:pageBreakBefore w:val="0"/>
              <w:tabs>
                <w:tab w:val="left" w:pos="6480"/>
              </w:tabs>
              <w:kinsoku/>
              <w:wordWrap/>
              <w:overflowPunct/>
              <w:topLinePunct w:val="0"/>
              <w:autoSpaceDE/>
              <w:autoSpaceDN/>
              <w:bidi w:val="0"/>
              <w:spacing w:line="360" w:lineRule="auto"/>
              <w:ind w:firstLine="480" w:firstLineChars="200"/>
              <w:jc w:val="both"/>
              <w:textAlignment w:val="auto"/>
              <w:rPr>
                <w:color w:val="FF0000"/>
                <w:sz w:val="24"/>
                <w:szCs w:val="24"/>
              </w:rPr>
            </w:pPr>
            <w:r>
              <w:rPr>
                <w:rFonts w:hint="default" w:ascii="Times New Roman" w:hAnsi="Times New Roman" w:cs="Times New Roman"/>
                <w:color w:val="FF0000"/>
                <w:sz w:val="24"/>
                <w:szCs w:val="24"/>
              </w:rPr>
              <w:t>①</w:t>
            </w:r>
            <w:r>
              <w:rPr>
                <w:rFonts w:hint="default" w:ascii="Calibri" w:hAnsi="Calibri" w:cs="Calibri"/>
                <w:color w:val="FF0000"/>
                <w:sz w:val="24"/>
                <w:szCs w:val="24"/>
              </w:rPr>
              <w:t>与周边环境相容性分析</w:t>
            </w:r>
          </w:p>
          <w:p>
            <w:pPr>
              <w:keepNext w:val="0"/>
              <w:keepLines w:val="0"/>
              <w:pageBreakBefore w:val="0"/>
              <w:tabs>
                <w:tab w:val="left" w:pos="6480"/>
              </w:tabs>
              <w:kinsoku/>
              <w:wordWrap/>
              <w:overflowPunct/>
              <w:topLinePunct w:val="0"/>
              <w:autoSpaceDE/>
              <w:autoSpaceDN/>
              <w:bidi w:val="0"/>
              <w:spacing w:line="360" w:lineRule="auto"/>
              <w:ind w:firstLine="480" w:firstLineChars="200"/>
              <w:jc w:val="both"/>
              <w:textAlignment w:val="auto"/>
              <w:rPr>
                <w:rFonts w:hint="eastAsia"/>
                <w:color w:val="FF0000"/>
                <w:sz w:val="24"/>
                <w:szCs w:val="24"/>
                <w:lang w:val="en-US" w:eastAsia="zh-CN"/>
              </w:rPr>
            </w:pPr>
            <w:r>
              <w:rPr>
                <w:color w:val="FF0000"/>
                <w:sz w:val="24"/>
                <w:szCs w:val="24"/>
              </w:rPr>
              <w:t>项目选址于</w:t>
            </w:r>
            <w:r>
              <w:rPr>
                <w:rFonts w:hint="default" w:ascii="Times New Roman" w:hAnsi="Times New Roman" w:cs="Times New Roman"/>
                <w:color w:val="FF0000"/>
                <w:sz w:val="24"/>
                <w:szCs w:val="24"/>
                <w:lang w:eastAsia="zh-CN"/>
              </w:rPr>
              <w:t>江西省上饶市</w:t>
            </w:r>
            <w:r>
              <w:rPr>
                <w:rFonts w:hint="eastAsia" w:ascii="Times New Roman" w:hAnsi="Times New Roman" w:cs="Times New Roman"/>
                <w:color w:val="FF0000"/>
                <w:sz w:val="24"/>
                <w:szCs w:val="24"/>
                <w:lang w:val="en-US" w:eastAsia="zh-CN"/>
              </w:rPr>
              <w:t>经济技术开发区</w:t>
            </w:r>
            <w:r>
              <w:rPr>
                <w:color w:val="FF0000"/>
                <w:sz w:val="24"/>
                <w:szCs w:val="24"/>
              </w:rPr>
              <w:t>，项目</w:t>
            </w:r>
            <w:r>
              <w:rPr>
                <w:rFonts w:hint="eastAsia"/>
                <w:color w:val="FF0000"/>
                <w:sz w:val="24"/>
                <w:szCs w:val="24"/>
              </w:rPr>
              <w:t>占地</w:t>
            </w:r>
            <w:r>
              <w:rPr>
                <w:color w:val="FF0000"/>
                <w:sz w:val="24"/>
                <w:szCs w:val="24"/>
              </w:rPr>
              <w:t>面积约</w:t>
            </w:r>
            <w:r>
              <w:rPr>
                <w:rFonts w:hint="eastAsia"/>
                <w:color w:val="FF0000"/>
                <w:sz w:val="24"/>
                <w:szCs w:val="24"/>
                <w:lang w:val="en-US" w:eastAsia="zh-CN"/>
              </w:rPr>
              <w:t>5000</w:t>
            </w:r>
            <w:r>
              <w:rPr>
                <w:color w:val="FF0000"/>
                <w:sz w:val="24"/>
                <w:szCs w:val="24"/>
              </w:rPr>
              <w:t>m</w:t>
            </w:r>
            <w:r>
              <w:rPr>
                <w:color w:val="FF0000"/>
                <w:sz w:val="24"/>
                <w:szCs w:val="24"/>
                <w:vertAlign w:val="superscript"/>
              </w:rPr>
              <w:t>2</w:t>
            </w:r>
            <w:r>
              <w:rPr>
                <w:color w:val="FF0000"/>
                <w:sz w:val="24"/>
                <w:szCs w:val="24"/>
              </w:rPr>
              <w:t>，根据对建设项目周边环境的现场踏勘，厂址周围无文物保护、饮用水源地等特殊敏感环境保护目标，项目区域水、气、声等环境质量均满足功能规划要求，用地属于工业用地，</w:t>
            </w:r>
            <w:r>
              <w:rPr>
                <w:rFonts w:hint="eastAsia"/>
                <w:color w:val="FF0000"/>
                <w:sz w:val="24"/>
                <w:szCs w:val="24"/>
                <w:lang w:val="en-US" w:eastAsia="zh-CN"/>
              </w:rPr>
              <w:t>且满足卫生防护距离要求，</w:t>
            </w:r>
            <w:r>
              <w:rPr>
                <w:color w:val="FF0000"/>
                <w:sz w:val="24"/>
                <w:szCs w:val="24"/>
              </w:rPr>
              <w:t>周围无项目制约因素</w:t>
            </w:r>
            <w:r>
              <w:rPr>
                <w:rFonts w:hint="eastAsia"/>
                <w:color w:val="FF0000"/>
                <w:sz w:val="24"/>
                <w:szCs w:val="24"/>
                <w:lang w:eastAsia="zh-CN"/>
              </w:rPr>
              <w:t>，</w:t>
            </w:r>
            <w:r>
              <w:rPr>
                <w:rFonts w:hint="eastAsia"/>
                <w:color w:val="FF0000"/>
                <w:sz w:val="24"/>
                <w:szCs w:val="24"/>
                <w:lang w:val="en-US" w:eastAsia="zh-CN"/>
              </w:rPr>
              <w:t>项目选址合理。</w:t>
            </w:r>
          </w:p>
          <w:p>
            <w:pPr>
              <w:spacing w:line="360" w:lineRule="auto"/>
              <w:ind w:firstLine="480" w:firstLineChars="200"/>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val="en-US" w:eastAsia="zh-CN"/>
              </w:rPr>
              <w:t>②与周边企业环境相容性</w:t>
            </w:r>
          </w:p>
          <w:p>
            <w:pPr>
              <w:spacing w:line="360" w:lineRule="auto"/>
              <w:ind w:firstLine="48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color w:val="FF0000"/>
                <w:sz w:val="24"/>
                <w:szCs w:val="24"/>
                <w:lang w:val="en-US" w:eastAsia="zh-CN"/>
              </w:rPr>
              <w:t>本项目位于上饶经济技术开发区兴业大道21号A栋，根据现场踏勘，项目</w:t>
            </w:r>
            <w:r>
              <w:rPr>
                <w:rFonts w:hint="eastAsia" w:eastAsia="宋体" w:cs="Times New Roman"/>
                <w:color w:val="FF0000"/>
                <w:sz w:val="24"/>
                <w:szCs w:val="24"/>
                <w:lang w:val="en-US" w:eastAsia="zh-CN"/>
              </w:rPr>
              <w:t>北边为江西神州医疗设备有限公司厂房，</w:t>
            </w:r>
            <w:r>
              <w:rPr>
                <w:rFonts w:hint="eastAsia" w:cs="Times New Roman"/>
                <w:color w:val="FF0000"/>
                <w:sz w:val="24"/>
                <w:szCs w:val="24"/>
                <w:lang w:val="en-US" w:eastAsia="zh-CN"/>
              </w:rPr>
              <w:t>主要生产医疗器械及光学仪器；</w:t>
            </w:r>
            <w:r>
              <w:rPr>
                <w:rFonts w:hint="eastAsia" w:eastAsia="宋体" w:cs="Times New Roman"/>
                <w:color w:val="FF0000"/>
                <w:sz w:val="24"/>
                <w:szCs w:val="24"/>
                <w:lang w:val="en-US" w:eastAsia="zh-CN"/>
              </w:rPr>
              <w:t>西边为上饶市海盈科技有限公司厂房，</w:t>
            </w:r>
            <w:r>
              <w:rPr>
                <w:rFonts w:hint="eastAsia" w:cs="Times New Roman"/>
                <w:color w:val="FF0000"/>
                <w:sz w:val="24"/>
                <w:szCs w:val="24"/>
                <w:lang w:val="en-US" w:eastAsia="zh-CN"/>
              </w:rPr>
              <w:t>主要从事光电科技研发；</w:t>
            </w:r>
            <w:r>
              <w:rPr>
                <w:rFonts w:hint="eastAsia" w:eastAsia="宋体" w:cs="Times New Roman"/>
                <w:color w:val="FF0000"/>
                <w:sz w:val="24"/>
                <w:szCs w:val="24"/>
                <w:lang w:val="en-US" w:eastAsia="zh-CN"/>
              </w:rPr>
              <w:t>东边为江西晶科光伏材料有限公司厂房，</w:t>
            </w:r>
            <w:r>
              <w:rPr>
                <w:rFonts w:hint="eastAsia" w:cs="Times New Roman"/>
                <w:color w:val="FF0000"/>
                <w:sz w:val="24"/>
                <w:szCs w:val="24"/>
                <w:lang w:val="en-US" w:eastAsia="zh-CN"/>
              </w:rPr>
              <w:t>主要从事</w:t>
            </w:r>
            <w:r>
              <w:rPr>
                <w:rFonts w:hint="eastAsia" w:eastAsia="宋体" w:cs="Times New Roman"/>
                <w:color w:val="FF0000"/>
                <w:sz w:val="24"/>
                <w:szCs w:val="24"/>
                <w:lang w:val="en-US" w:eastAsia="zh-CN"/>
              </w:rPr>
              <w:t>光伏设备及元器件制造</w:t>
            </w:r>
            <w:r>
              <w:rPr>
                <w:rFonts w:hint="eastAsia" w:cs="Times New Roman"/>
                <w:color w:val="FF0000"/>
                <w:sz w:val="24"/>
                <w:szCs w:val="24"/>
                <w:lang w:val="en-US" w:eastAsia="zh-CN"/>
              </w:rPr>
              <w:t>；</w:t>
            </w:r>
            <w:r>
              <w:rPr>
                <w:rFonts w:hint="eastAsia" w:eastAsia="宋体" w:cs="Times New Roman"/>
                <w:color w:val="FF0000"/>
                <w:sz w:val="24"/>
                <w:szCs w:val="24"/>
                <w:lang w:val="en-US" w:eastAsia="zh-CN"/>
              </w:rPr>
              <w:t>南边为空地</w:t>
            </w:r>
            <w:r>
              <w:rPr>
                <w:rFonts w:hint="eastAsia" w:cs="Times New Roman"/>
                <w:color w:val="FF0000"/>
                <w:sz w:val="24"/>
                <w:szCs w:val="24"/>
                <w:lang w:val="en-US" w:eastAsia="zh-CN"/>
              </w:rPr>
              <w:t>。</w:t>
            </w:r>
            <w:r>
              <w:rPr>
                <w:rFonts w:hint="default" w:ascii="Times New Roman" w:hAnsi="Times New Roman" w:eastAsia="宋体" w:cs="Times New Roman"/>
                <w:color w:val="FF0000"/>
                <w:sz w:val="24"/>
                <w:szCs w:val="24"/>
                <w:lang w:val="en-US" w:eastAsia="zh-CN"/>
              </w:rPr>
              <w:t>周边无食品、药品等对环境要求质量较高的企业，因此，本项目与周边企业相容性较好。</w:t>
            </w:r>
          </w:p>
          <w:p>
            <w:pPr>
              <w:pStyle w:val="70"/>
              <w:bidi w:val="0"/>
              <w:rPr>
                <w:rFonts w:ascii="Times New Roman" w:hAnsi="Times New Roman" w:eastAsia="宋体" w:cs="宋体"/>
                <w:color w:val="auto"/>
              </w:rPr>
            </w:pPr>
            <w:r>
              <w:rPr>
                <w:rFonts w:hint="eastAsia" w:eastAsia="宋体" w:cs="宋体"/>
                <w:color w:val="auto"/>
                <w:lang w:val="en-US" w:eastAsia="zh-CN"/>
              </w:rPr>
              <w:t>4</w:t>
            </w:r>
            <w:r>
              <w:rPr>
                <w:rFonts w:hint="eastAsia" w:ascii="Times New Roman" w:hAnsi="Times New Roman" w:eastAsia="宋体" w:cs="宋体"/>
                <w:color w:val="auto"/>
              </w:rPr>
              <w:t>、与《江西省加强“两高”项目准入管理的实施意见》相符性分析</w:t>
            </w:r>
          </w:p>
          <w:p>
            <w:pPr>
              <w:pStyle w:val="67"/>
              <w:rPr>
                <w:rFonts w:ascii="Times New Roman" w:hAnsi="Times New Roman" w:eastAsia="宋体" w:cs="宋体"/>
                <w:color w:val="auto"/>
              </w:rPr>
            </w:pPr>
            <w:r>
              <w:rPr>
                <w:rFonts w:hint="eastAsia" w:ascii="Times New Roman" w:hAnsi="Times New Roman" w:eastAsia="宋体" w:cs="宋体"/>
                <w:color w:val="auto"/>
              </w:rPr>
              <w:t>表1-</w:t>
            </w:r>
            <w:r>
              <w:rPr>
                <w:rFonts w:hint="eastAsia" w:cs="宋体"/>
                <w:color w:val="auto"/>
                <w:lang w:val="en-US" w:eastAsia="zh-CN"/>
              </w:rPr>
              <w:t>3</w:t>
            </w:r>
            <w:r>
              <w:rPr>
                <w:rFonts w:hint="eastAsia" w:ascii="Times New Roman" w:hAnsi="Times New Roman" w:eastAsia="宋体" w:cs="宋体"/>
                <w:color w:val="auto"/>
              </w:rPr>
              <w:t xml:space="preserve"> 本项目与《江西省加强“两高”项目准入管理的实施意见》相符性</w:t>
            </w:r>
          </w:p>
          <w:tbl>
            <w:tblPr>
              <w:tblStyle w:val="27"/>
              <w:tblW w:w="4998" w:type="pct"/>
              <w:tblInd w:w="0" w:type="dxa"/>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502"/>
              <w:gridCol w:w="2156"/>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序号</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相关要求</w:t>
                  </w:r>
                </w:p>
              </w:tc>
              <w:tc>
                <w:tcPr>
                  <w:tcW w:w="1449"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本项目相符性分析</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1</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两高”项目涉及行业多、覆盖面大，暂定石化、化工、煤化工、钢铁、焦化、建材、有色、煤电8个行业年综合能源消费量5000吨标准煤（等价值）及以上的项目。具体包括但不限于：（1）以下行业领域新建、改建、扩建项目。石油炼制，石油化工，现代煤化工，焦化（含兰炭），煤电，长流程钢铁，独立烧结、球团，铁合金，合成氨，铜、铝、铅、锌、硅等冶炼行业，水泥、玻璃、陶瓷、石灰、耐火材料、保温材料、砖瓦等建材行业，制药、农药等行业。（2）其他行业涉煤及煤制品、石油焦、渣油、重油等高污染燃料使用工业炉窑、锅炉的项目。</w:t>
                  </w:r>
                </w:p>
              </w:tc>
              <w:tc>
                <w:tcPr>
                  <w:tcW w:w="1449"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本项目光学仪器制造项目，不属于“两高”项目</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2</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项目建设必须严格落实国家《产业结构调整指导目录》要求，符合国家、省产业布局和管理有关规定。新建“两高”项目能效水平必须达到国内先进值，对项目产品、工艺、技术、装备等属于限制类或淘汰类的，一律禁止投资新建、扩建，发展改革、生态环境、工业和信息化、自然资源、林业、住建、行政审批等部门不得办理有关手续；属于技术改造的“两高”项目，确保技改后单位产品能耗量和排放量只减不增。</w:t>
                  </w:r>
                </w:p>
              </w:tc>
              <w:tc>
                <w:tcPr>
                  <w:tcW w:w="1449"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本项目产品、工艺、技术、装备不属于限制类或淘汰类的，</w:t>
                  </w:r>
                  <w:r>
                    <w:rPr>
                      <w:rFonts w:hint="eastAsia" w:eastAsia="宋体" w:cs="宋体"/>
                      <w:color w:val="auto"/>
                      <w:lang w:val="en-US" w:eastAsia="zh-CN"/>
                    </w:rPr>
                    <w:t>不属于</w:t>
                  </w:r>
                  <w:r>
                    <w:rPr>
                      <w:rFonts w:hint="eastAsia" w:ascii="Times New Roman" w:hAnsi="Times New Roman" w:eastAsia="宋体" w:cs="宋体"/>
                      <w:color w:val="auto"/>
                    </w:rPr>
                    <w:t>“两高”项目</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3</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严格落实选址要求。“两高”项目选址应符合生态环境保护法律、法规、规章以及强制性标准要求，严格落实主体功能区产业准入负面清单制度、《江西省推动长江经济带发展领导小组办公室关于印发江西省长江经济带发展负面清单实施细则（试行）的通知》（赣长江办〔2019〕13号）等有关规定。新建、扩建石化、化工、煤化工、焦化、有色金属冶炼、平板玻璃、建筑陶瓷、原药制造项目应布设在依法合规设立且经规划环评的产业园区，并满足大气环境防护距离要求。涉及江河湖库的建设项目，应充分考虑岸线保护利用、污染物排放、环境风险防控要求，科学、合理确定“两高”项目与江河湖库的距离并满足国家和我省相关规定；项目下游涉及饮用水源保护、湿地保护、农田灌溉、水生生物保护等水功能区的，在确保项目达标排放的基础上，还应采取必要的减缓措施，确保受其直接影响的水功能区达到相应的水质标准。</w:t>
                  </w:r>
                </w:p>
              </w:tc>
              <w:tc>
                <w:tcPr>
                  <w:tcW w:w="1449" w:type="pct"/>
                  <w:vAlign w:val="center"/>
                </w:tcPr>
                <w:p>
                  <w:pPr>
                    <w:pStyle w:val="69"/>
                    <w:rPr>
                      <w:rFonts w:hint="default" w:ascii="Times New Roman" w:hAnsi="Times New Roman" w:eastAsia="宋体" w:cs="宋体"/>
                      <w:color w:val="auto"/>
                      <w:lang w:val="en-US" w:eastAsia="zh-CN"/>
                    </w:rPr>
                  </w:pPr>
                  <w:r>
                    <w:rPr>
                      <w:rFonts w:hint="eastAsia" w:ascii="Times New Roman" w:hAnsi="Times New Roman" w:eastAsia="宋体" w:cs="宋体"/>
                      <w:color w:val="auto"/>
                    </w:rPr>
                    <w:t>本项目</w:t>
                  </w:r>
                  <w:r>
                    <w:rPr>
                      <w:rFonts w:hint="eastAsia" w:eastAsia="宋体" w:cs="宋体"/>
                      <w:color w:val="auto"/>
                      <w:lang w:val="en-US" w:eastAsia="zh-CN"/>
                    </w:rPr>
                    <w:t>不属于</w:t>
                  </w:r>
                  <w:r>
                    <w:rPr>
                      <w:rFonts w:hint="eastAsia" w:ascii="Times New Roman" w:hAnsi="Times New Roman" w:eastAsia="宋体" w:cs="宋体"/>
                      <w:color w:val="auto"/>
                    </w:rPr>
                    <w:t>“两高”项目</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5"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4</w:t>
                  </w:r>
                </w:p>
              </w:tc>
              <w:tc>
                <w:tcPr>
                  <w:tcW w:w="3026" w:type="pct"/>
                  <w:vAlign w:val="center"/>
                </w:tcPr>
                <w:p>
                  <w:pPr>
                    <w:pStyle w:val="69"/>
                    <w:rPr>
                      <w:rFonts w:ascii="Times New Roman" w:hAnsi="Times New Roman" w:eastAsia="宋体" w:cs="宋体"/>
                      <w:color w:val="auto"/>
                    </w:rPr>
                  </w:pPr>
                  <w:r>
                    <w:rPr>
                      <w:rFonts w:hint="eastAsia" w:ascii="Times New Roman" w:hAnsi="Times New Roman" w:eastAsia="宋体" w:cs="宋体"/>
                      <w:color w:val="auto"/>
                    </w:rPr>
                    <w:t>严格“两高”项目环境影响评价。新建、改扩建“两高”项目必须符合生态环境保护法律法规和相关法定规划，满足重点污染物排放总量控制、碳排放达峰目标、生态环境准入清单、相关规划环评和相应行业建设项目环境准入条件、环评文件审批原则要求。石化、现代煤化工项目须纳入国家产业规划。</w:t>
                  </w:r>
                </w:p>
              </w:tc>
              <w:tc>
                <w:tcPr>
                  <w:tcW w:w="1449" w:type="pct"/>
                  <w:vAlign w:val="center"/>
                </w:tcPr>
                <w:p>
                  <w:pPr>
                    <w:pStyle w:val="69"/>
                    <w:rPr>
                      <w:rFonts w:hint="eastAsia" w:ascii="Times New Roman" w:hAnsi="Times New Roman" w:eastAsia="宋体" w:cs="宋体"/>
                      <w:color w:val="auto"/>
                      <w:lang w:eastAsia="zh-CN"/>
                    </w:rPr>
                  </w:pPr>
                  <w:r>
                    <w:rPr>
                      <w:rFonts w:hint="eastAsia" w:ascii="Times New Roman" w:hAnsi="Times New Roman" w:eastAsia="宋体" w:cs="宋体"/>
                      <w:color w:val="auto"/>
                    </w:rPr>
                    <w:t>本项目</w:t>
                  </w:r>
                  <w:r>
                    <w:rPr>
                      <w:rFonts w:hint="eastAsia" w:ascii="Times New Roman" w:hAnsi="Times New Roman" w:eastAsia="宋体" w:cs="宋体"/>
                      <w:color w:val="auto"/>
                      <w:lang w:val="en-US" w:eastAsia="zh-CN"/>
                    </w:rPr>
                    <w:t>不属于</w:t>
                  </w:r>
                  <w:r>
                    <w:rPr>
                      <w:rFonts w:hint="eastAsia" w:ascii="Times New Roman" w:hAnsi="Times New Roman" w:eastAsia="宋体" w:cs="宋体"/>
                      <w:color w:val="auto"/>
                    </w:rPr>
                    <w:t>“两高”项目</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Times New Roman" w:hAnsi="Times New Roman" w:eastAsia="宋体" w:cs="宋体"/>
                <w:color w:val="auto"/>
                <w:lang w:val="en-US" w:eastAsia="zh-CN"/>
              </w:rPr>
            </w:pPr>
            <w:r>
              <w:rPr>
                <w:rFonts w:hint="eastAsia" w:cs="Times New Roman"/>
                <w:kern w:val="0"/>
                <w:sz w:val="24"/>
                <w:szCs w:val="24"/>
                <w:lang w:val="en-US" w:eastAsia="zh-CN"/>
              </w:rPr>
              <w:t>5、</w:t>
            </w:r>
            <w:r>
              <w:rPr>
                <w:rFonts w:hint="eastAsia" w:ascii="Times New Roman" w:hAnsi="Times New Roman" w:eastAsia="宋体" w:cs="宋体"/>
                <w:color w:val="auto"/>
              </w:rPr>
              <w:t>与</w:t>
            </w:r>
            <w:r>
              <w:rPr>
                <w:rFonts w:hint="default" w:ascii="Times New Roman" w:hAnsi="Times New Roman" w:cs="Times New Roman"/>
                <w:lang w:val="en-US" w:eastAsia="zh-CN"/>
              </w:rPr>
              <w:t>《挥发性有机物（VOCs）污染防治技术政策》</w:t>
            </w:r>
            <w:r>
              <w:rPr>
                <w:rFonts w:hint="eastAsia" w:eastAsia="宋体" w:cs="宋体"/>
                <w:color w:val="auto"/>
                <w:lang w:val="en-US" w:eastAsia="zh-CN"/>
              </w:rPr>
              <w:t>相符性分析</w:t>
            </w:r>
          </w:p>
          <w:p>
            <w:pPr>
              <w:pStyle w:val="67"/>
              <w:rPr>
                <w:rFonts w:ascii="Times New Roman" w:hAnsi="Times New Roman" w:eastAsia="宋体" w:cs="宋体"/>
                <w:color w:val="auto"/>
              </w:rPr>
            </w:pPr>
            <w:r>
              <w:rPr>
                <w:rFonts w:ascii="Times New Roman" w:hAnsi="Times New Roman" w:eastAsia="宋体" w:cs="宋体"/>
                <w:color w:val="auto"/>
              </w:rPr>
              <w:t>表</w:t>
            </w:r>
            <w:r>
              <w:rPr>
                <w:rFonts w:hint="eastAsia" w:ascii="Times New Roman" w:hAnsi="Times New Roman" w:eastAsia="宋体" w:cs="宋体"/>
                <w:color w:val="auto"/>
              </w:rPr>
              <w:t>1-</w:t>
            </w:r>
            <w:r>
              <w:rPr>
                <w:rFonts w:hint="eastAsia" w:cs="宋体"/>
                <w:color w:val="auto"/>
                <w:lang w:val="en-US" w:eastAsia="zh-CN"/>
              </w:rPr>
              <w:t>4</w:t>
            </w:r>
            <w:r>
              <w:rPr>
                <w:rFonts w:hint="eastAsia" w:ascii="Times New Roman" w:hAnsi="Times New Roman" w:eastAsia="宋体" w:cs="宋体"/>
                <w:color w:val="auto"/>
              </w:rPr>
              <w:t xml:space="preserve"> </w:t>
            </w:r>
            <w:r>
              <w:rPr>
                <w:rFonts w:ascii="Times New Roman" w:hAnsi="Times New Roman" w:eastAsia="宋体" w:cs="宋体"/>
                <w:color w:val="auto"/>
              </w:rPr>
              <w:t>本项目与“</w:t>
            </w:r>
            <w:r>
              <w:rPr>
                <w:rFonts w:hint="default" w:ascii="Times New Roman" w:hAnsi="Times New Roman" w:cs="Times New Roman"/>
                <w:lang w:val="en-US" w:eastAsia="zh-CN"/>
              </w:rPr>
              <w:t>挥发性有机物（VOCs）污染防治技术政策</w:t>
            </w:r>
            <w:r>
              <w:rPr>
                <w:rFonts w:ascii="Times New Roman" w:hAnsi="Times New Roman" w:eastAsia="宋体" w:cs="宋体"/>
                <w:color w:val="auto"/>
              </w:rPr>
              <w:t>”符合性分析</w:t>
            </w:r>
          </w:p>
          <w:tbl>
            <w:tblPr>
              <w:tblStyle w:val="27"/>
              <w:tblW w:w="4999"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43"/>
              <w:gridCol w:w="3416"/>
              <w:gridCol w:w="2166"/>
              <w:gridCol w:w="81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widowControl/>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分类</w:t>
                  </w:r>
                </w:p>
              </w:tc>
              <w:tc>
                <w:tcPr>
                  <w:tcW w:w="2295" w:type="pct"/>
                  <w:tcBorders>
                    <w:tl2br w:val="nil"/>
                    <w:tr2bl w:val="nil"/>
                  </w:tcBorders>
                  <w:noWrap w:val="0"/>
                  <w:vAlign w:val="center"/>
                </w:tcPr>
                <w:p>
                  <w:pPr>
                    <w:widowControl/>
                    <w:adjustRightInd w:val="0"/>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相关规定</w:t>
                  </w:r>
                </w:p>
              </w:tc>
              <w:tc>
                <w:tcPr>
                  <w:tcW w:w="1455" w:type="pct"/>
                  <w:tcBorders>
                    <w:tl2br w:val="nil"/>
                    <w:tr2bl w:val="nil"/>
                  </w:tcBorders>
                  <w:noWrap w:val="0"/>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项目情况</w:t>
                  </w:r>
                </w:p>
              </w:tc>
              <w:tc>
                <w:tcPr>
                  <w:tcW w:w="548" w:type="pct"/>
                  <w:tcBorders>
                    <w:tl2br w:val="nil"/>
                    <w:tr2bl w:val="nil"/>
                  </w:tcBorders>
                  <w:noWrap w:val="0"/>
                  <w:vAlign w:val="center"/>
                </w:tcPr>
                <w:p>
                  <w:pPr>
                    <w:jc w:val="center"/>
                    <w:rPr>
                      <w:sz w:val="21"/>
                      <w:szCs w:val="21"/>
                    </w:rPr>
                  </w:pPr>
                  <w:r>
                    <w:rPr>
                      <w:sz w:val="21"/>
                      <w:szCs w:val="21"/>
                    </w:rPr>
                    <w:t>符合情况</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bidi w:val="0"/>
                    <w:jc w:val="center"/>
                    <w:rPr>
                      <w:rFonts w:hint="default" w:ascii="Times New Roman" w:hAnsi="Times New Roman" w:cs="Times New Roman"/>
                      <w:szCs w:val="21"/>
                    </w:rPr>
                  </w:pPr>
                  <w:r>
                    <w:t>源头和过程控制</w:t>
                  </w:r>
                </w:p>
              </w:tc>
              <w:tc>
                <w:tcPr>
                  <w:tcW w:w="2295" w:type="pct"/>
                  <w:tcBorders>
                    <w:tl2br w:val="nil"/>
                    <w:tr2bl w:val="nil"/>
                  </w:tcBorders>
                  <w:noWrap w:val="0"/>
                  <w:vAlign w:val="center"/>
                </w:tcPr>
                <w:p>
                  <w:pPr>
                    <w:bidi w:val="0"/>
                    <w:jc w:val="center"/>
                    <w:rPr>
                      <w:rFonts w:hint="default" w:ascii="Times New Roman" w:hAnsi="Times New Roman" w:cs="Times New Roman"/>
                      <w:szCs w:val="21"/>
                    </w:rPr>
                  </w:pPr>
                  <w:r>
                    <w:t>含VOCs产品的使用过程中，应采取废气收集措施，提高废气收集效率，减少废气的无组织排放与逸散，并对收集后的废气进行回收或处理后达标排放。</w:t>
                  </w:r>
                </w:p>
              </w:tc>
              <w:tc>
                <w:tcPr>
                  <w:tcW w:w="1455" w:type="pct"/>
                  <w:tcBorders>
                    <w:tl2br w:val="nil"/>
                    <w:tr2bl w:val="nil"/>
                  </w:tcBorders>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本项目</w:t>
                  </w:r>
                  <w:r>
                    <w:rPr>
                      <w:rFonts w:hint="eastAsia" w:cs="Times New Roman"/>
                      <w:sz w:val="21"/>
                      <w:szCs w:val="21"/>
                      <w:lang w:eastAsia="zh-CN"/>
                    </w:rPr>
                    <w:t>对</w:t>
                  </w:r>
                  <w:r>
                    <w:rPr>
                      <w:rFonts w:hint="eastAsia" w:cs="Times New Roman"/>
                      <w:sz w:val="21"/>
                      <w:szCs w:val="21"/>
                      <w:lang w:val="en-US" w:eastAsia="zh-CN"/>
                    </w:rPr>
                    <w:t>产生的</w:t>
                  </w:r>
                  <w:r>
                    <w:rPr>
                      <w:rFonts w:hint="default" w:ascii="Times New Roman" w:hAnsi="Times New Roman" w:cs="Times New Roman"/>
                      <w:sz w:val="21"/>
                      <w:szCs w:val="21"/>
                    </w:rPr>
                    <w:t>VOC</w:t>
                  </w:r>
                  <w:r>
                    <w:rPr>
                      <w:rFonts w:hint="default" w:ascii="Times New Roman" w:hAnsi="Times New Roman" w:cs="Times New Roman"/>
                      <w:sz w:val="21"/>
                      <w:szCs w:val="21"/>
                      <w:vertAlign w:val="subscript"/>
                    </w:rPr>
                    <w:t>S</w:t>
                  </w:r>
                  <w:r>
                    <w:rPr>
                      <w:rFonts w:hint="eastAsia" w:cs="Times New Roman"/>
                      <w:sz w:val="21"/>
                      <w:szCs w:val="21"/>
                      <w:vertAlign w:val="baseline"/>
                      <w:lang w:eastAsia="zh-CN"/>
                    </w:rPr>
                    <w:t>通过集气罩</w:t>
                  </w:r>
                  <w:r>
                    <w:rPr>
                      <w:rFonts w:hint="eastAsia" w:cs="Times New Roman"/>
                      <w:sz w:val="21"/>
                      <w:szCs w:val="21"/>
                      <w:vertAlign w:val="baseline"/>
                      <w:lang w:val="en-US" w:eastAsia="zh-CN"/>
                    </w:rPr>
                    <w:t>+</w:t>
                  </w:r>
                  <w:r>
                    <w:rPr>
                      <w:rFonts w:hint="eastAsia" w:ascii="Times New Roman" w:hAnsi="Times New Roman" w:eastAsia="宋体" w:cs="Times New Roman"/>
                      <w:color w:val="auto"/>
                      <w:sz w:val="21"/>
                      <w:szCs w:val="21"/>
                      <w:lang w:val="en-US" w:eastAsia="zh-CN"/>
                    </w:rPr>
                    <w:t>二</w:t>
                  </w:r>
                  <w:r>
                    <w:rPr>
                      <w:rFonts w:hint="eastAsia" w:cs="Times New Roman"/>
                      <w:color w:val="auto"/>
                      <w:sz w:val="21"/>
                      <w:szCs w:val="21"/>
                      <w:lang w:val="en-US" w:eastAsia="zh-CN"/>
                    </w:rPr>
                    <w:t>级</w:t>
                  </w:r>
                  <w:r>
                    <w:rPr>
                      <w:rFonts w:hint="default" w:ascii="Times New Roman" w:hAnsi="Times New Roman" w:eastAsia="宋体" w:cs="Times New Roman"/>
                      <w:color w:val="auto"/>
                      <w:sz w:val="21"/>
                      <w:szCs w:val="21"/>
                      <w:lang w:val="en-US" w:eastAsia="zh-CN"/>
                    </w:rPr>
                    <w:t>活性炭吸附装置</w:t>
                  </w:r>
                  <w:r>
                    <w:rPr>
                      <w:rFonts w:hint="eastAsia" w:ascii="Times New Roman" w:hAnsi="Times New Roman" w:eastAsia="宋体" w:cs="Times New Roman"/>
                      <w:color w:val="auto"/>
                      <w:sz w:val="21"/>
                      <w:szCs w:val="21"/>
                      <w:lang w:val="en-US" w:eastAsia="zh-CN"/>
                    </w:rPr>
                    <w:t>+15m高排气筒排放，减少了无组织排放</w:t>
                  </w:r>
                  <w:r>
                    <w:rPr>
                      <w:rFonts w:hint="eastAsia" w:cs="Times New Roman"/>
                      <w:color w:val="auto"/>
                      <w:sz w:val="21"/>
                      <w:szCs w:val="21"/>
                      <w:lang w:val="en-US" w:eastAsia="zh-CN"/>
                    </w:rPr>
                    <w:t>，达标排放</w:t>
                  </w:r>
                </w:p>
              </w:tc>
              <w:tc>
                <w:tcPr>
                  <w:tcW w:w="548" w:type="pct"/>
                  <w:tcBorders>
                    <w:tl2br w:val="nil"/>
                    <w:tr2bl w:val="nil"/>
                  </w:tcBorders>
                  <w:noWrap w:val="0"/>
                  <w:vAlign w:val="center"/>
                </w:tcPr>
                <w:p>
                  <w:pPr>
                    <w:jc w:val="center"/>
                    <w:rPr>
                      <w:sz w:val="21"/>
                      <w:szCs w:val="21"/>
                    </w:rPr>
                  </w:pPr>
                  <w:r>
                    <w:rPr>
                      <w:rFonts w:hint="eastAsia"/>
                      <w:sz w:val="21"/>
                      <w:szCs w:val="21"/>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bidi w:val="0"/>
                    <w:jc w:val="center"/>
                    <w:rPr>
                      <w:rFonts w:hint="default" w:ascii="Times New Roman" w:hAnsi="Times New Roman" w:cs="Times New Roman"/>
                      <w:szCs w:val="21"/>
                    </w:rPr>
                  </w:pPr>
                  <w:r>
                    <w:t>末端治理与综合利用</w:t>
                  </w:r>
                </w:p>
              </w:tc>
              <w:tc>
                <w:tcPr>
                  <w:tcW w:w="2295" w:type="pct"/>
                  <w:tcBorders>
                    <w:tl2br w:val="nil"/>
                    <w:tr2bl w:val="nil"/>
                  </w:tcBorders>
                  <w:noWrap w:val="0"/>
                  <w:vAlign w:val="center"/>
                </w:tcPr>
                <w:p>
                  <w:pPr>
                    <w:bidi w:val="0"/>
                    <w:jc w:val="center"/>
                    <w:rPr>
                      <w:rFonts w:hint="eastAsia" w:ascii="Times New Roman" w:hAnsi="Times New Roman" w:eastAsia="宋体" w:cs="Times New Roman"/>
                      <w:szCs w:val="21"/>
                      <w:lang w:eastAsia="zh-CN"/>
                    </w:rPr>
                  </w:pPr>
                  <w:r>
                    <w:t>在工业生产过程中鼓励VOCs的回收利用，并优先鼓励在生产系统内回用</w:t>
                  </w:r>
                  <w:r>
                    <w:rPr>
                      <w:rFonts w:hint="eastAsia"/>
                      <w:lang w:eastAsia="zh-CN"/>
                    </w:rPr>
                    <w:t>；</w:t>
                  </w:r>
                  <w:r>
                    <w:t>对于含低浓度VOCs的废气，有回收价值时可采用吸附技术、吸收技术对有机溶剂回收后达标排放；不宜回收时，可采用吸附浓缩燃烧技术、生物技术、吸收技术、等离子体技术或紫外光高级氧化技术等净化后达标排放</w:t>
                  </w:r>
                  <w:r>
                    <w:rPr>
                      <w:rFonts w:hint="eastAsia"/>
                      <w:lang w:eastAsia="zh-CN"/>
                    </w:rPr>
                    <w:t>；</w:t>
                  </w:r>
                  <w:r>
                    <w:t>对于不能再生的过滤材料、吸附剂及催化剂等净化材料，应按照国家固体废物管理的相关规定处理处置。</w:t>
                  </w:r>
                </w:p>
              </w:tc>
              <w:tc>
                <w:tcPr>
                  <w:tcW w:w="1455" w:type="pct"/>
                  <w:tcBorders>
                    <w:tl2br w:val="nil"/>
                    <w:tr2bl w:val="nil"/>
                  </w:tcBorders>
                  <w:noWrap w:val="0"/>
                  <w:vAlign w:val="center"/>
                </w:tcPr>
                <w:p>
                  <w:pPr>
                    <w:spacing w:line="240" w:lineRule="auto"/>
                    <w:jc w:val="left"/>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本项目产生的</w:t>
                  </w:r>
                  <w:r>
                    <w:t>VOCs</w:t>
                  </w:r>
                  <w:r>
                    <w:rPr>
                      <w:rFonts w:hint="eastAsia"/>
                      <w:lang w:val="en-US" w:eastAsia="zh-CN"/>
                    </w:rPr>
                    <w:t>浓度较低</w:t>
                  </w:r>
                  <w:r>
                    <w:rPr>
                      <w:rFonts w:hint="default" w:ascii="Times New Roman" w:hAnsi="Times New Roman" w:cs="Times New Roman"/>
                      <w:sz w:val="21"/>
                      <w:szCs w:val="21"/>
                    </w:rPr>
                    <w:t>，本项目</w:t>
                  </w:r>
                  <w:r>
                    <w:rPr>
                      <w:rFonts w:hint="eastAsia" w:ascii="Times New Roman" w:hAnsi="Times New Roman" w:cs="Times New Roman"/>
                      <w:sz w:val="21"/>
                      <w:szCs w:val="21"/>
                      <w:lang w:val="en-US" w:eastAsia="zh-CN"/>
                    </w:rPr>
                    <w:t>二级</w:t>
                  </w:r>
                  <w:r>
                    <w:rPr>
                      <w:rFonts w:hint="default" w:ascii="Times New Roman" w:hAnsi="Times New Roman" w:eastAsia="宋体" w:cs="Times New Roman"/>
                      <w:color w:val="auto"/>
                      <w:sz w:val="21"/>
                      <w:szCs w:val="21"/>
                      <w:lang w:val="en-US" w:eastAsia="zh-CN"/>
                    </w:rPr>
                    <w:t>活性炭吸附装置</w:t>
                  </w:r>
                  <w:r>
                    <w:rPr>
                      <w:rFonts w:hint="eastAsia" w:ascii="Times New Roman" w:hAnsi="Times New Roman" w:eastAsia="宋体" w:cs="Times New Roman"/>
                      <w:color w:val="auto"/>
                      <w:sz w:val="21"/>
                      <w:szCs w:val="21"/>
                      <w:lang w:val="en-US" w:eastAsia="zh-CN"/>
                    </w:rPr>
                    <w:t>处理</w:t>
                  </w:r>
                  <w:r>
                    <w:rPr>
                      <w:rFonts w:hint="eastAsia" w:cs="Times New Roman"/>
                      <w:sz w:val="21"/>
                      <w:szCs w:val="21"/>
                      <w:lang w:eastAsia="zh-CN"/>
                    </w:rPr>
                    <w:t>，吸附后的废活性炭作为危废交由有资质单位处理。</w:t>
                  </w:r>
                </w:p>
              </w:tc>
              <w:tc>
                <w:tcPr>
                  <w:tcW w:w="548" w:type="pct"/>
                  <w:tcBorders>
                    <w:tl2br w:val="nil"/>
                    <w:tr2bl w:val="nil"/>
                  </w:tcBorders>
                  <w:noWrap w:val="0"/>
                  <w:vAlign w:val="center"/>
                </w:tcPr>
                <w:p>
                  <w:pPr>
                    <w:jc w:val="center"/>
                    <w:rPr>
                      <w:sz w:val="21"/>
                      <w:szCs w:val="21"/>
                    </w:rPr>
                  </w:pPr>
                  <w:r>
                    <w:rPr>
                      <w:sz w:val="21"/>
                      <w:szCs w:val="21"/>
                    </w:rPr>
                    <w:t>符合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01" w:type="pct"/>
                  <w:tcBorders>
                    <w:tl2br w:val="nil"/>
                    <w:tr2bl w:val="nil"/>
                  </w:tcBorders>
                  <w:noWrap w:val="0"/>
                  <w:vAlign w:val="center"/>
                </w:tcPr>
                <w:p>
                  <w:pPr>
                    <w:bidi w:val="0"/>
                    <w:jc w:val="center"/>
                    <w:rPr>
                      <w:rFonts w:hint="default"/>
                    </w:rPr>
                  </w:pPr>
                  <w:r>
                    <w:t>运行与监测</w:t>
                  </w:r>
                </w:p>
              </w:tc>
              <w:tc>
                <w:tcPr>
                  <w:tcW w:w="2295" w:type="pct"/>
                  <w:tcBorders>
                    <w:tl2br w:val="nil"/>
                    <w:tr2bl w:val="nil"/>
                  </w:tcBorders>
                  <w:noWrap w:val="0"/>
                  <w:vAlign w:val="center"/>
                </w:tcPr>
                <w:p>
                  <w:pPr>
                    <w:bidi w:val="0"/>
                    <w:jc w:val="center"/>
                    <w:rPr>
                      <w:rFonts w:hint="eastAsia"/>
                      <w:lang w:eastAsia="zh-CN"/>
                    </w:rPr>
                  </w:pPr>
                  <w:r>
                    <w:t>鼓励企业自行开展VOCs监测，并及时主动向当地环保行政主管部门报送监测结果</w:t>
                  </w:r>
                  <w:r>
                    <w:rPr>
                      <w:rFonts w:hint="eastAsia"/>
                      <w:lang w:eastAsia="zh-CN"/>
                    </w:rPr>
                    <w:t>；</w:t>
                  </w:r>
                  <w:r>
                    <w:t>企业应建立健全VOCs治理设施的运行维护规程和台帐等日常管理制度，并根据工艺要求定期对各类设备、电气、自控仪表等进行检修维护，确保设施的稳定运行。</w:t>
                  </w:r>
                </w:p>
              </w:tc>
              <w:tc>
                <w:tcPr>
                  <w:tcW w:w="1455" w:type="pct"/>
                  <w:tcBorders>
                    <w:tl2br w:val="nil"/>
                    <w:tr2bl w:val="nil"/>
                  </w:tcBorders>
                  <w:noWrap w:val="0"/>
                  <w:vAlign w:val="center"/>
                </w:tcPr>
                <w:p>
                  <w:pPr>
                    <w:spacing w:line="240" w:lineRule="auto"/>
                    <w:jc w:val="left"/>
                    <w:rPr>
                      <w:rFonts w:hint="eastAsia" w:ascii="Times New Roman" w:hAnsi="Times New Roman" w:eastAsia="宋体" w:cs="Times New Roman"/>
                      <w:sz w:val="21"/>
                      <w:szCs w:val="21"/>
                      <w:lang w:eastAsia="zh-CN"/>
                    </w:rPr>
                  </w:pPr>
                  <w:r>
                    <w:rPr>
                      <w:rFonts w:hint="eastAsia" w:cs="Times New Roman"/>
                      <w:sz w:val="21"/>
                      <w:szCs w:val="21"/>
                      <w:lang w:eastAsia="zh-CN"/>
                    </w:rPr>
                    <w:t>项目已制定自行监测计划，并建立</w:t>
                  </w:r>
                  <w:r>
                    <w:rPr>
                      <w:rFonts w:hint="eastAsia"/>
                      <w:lang w:eastAsia="zh-CN"/>
                    </w:rPr>
                    <w:t>有机废气</w:t>
                  </w:r>
                  <w:r>
                    <w:t>治理设施的运行维护规程和台帐等日常管理制度</w:t>
                  </w:r>
                  <w:r>
                    <w:rPr>
                      <w:rFonts w:hint="eastAsia"/>
                      <w:lang w:eastAsia="zh-CN"/>
                    </w:rPr>
                    <w:t>。</w:t>
                  </w:r>
                </w:p>
              </w:tc>
              <w:tc>
                <w:tcPr>
                  <w:tcW w:w="548" w:type="pct"/>
                  <w:tcBorders>
                    <w:tl2br w:val="nil"/>
                    <w:tr2bl w:val="nil"/>
                  </w:tcBorders>
                  <w:noWrap w:val="0"/>
                  <w:vAlign w:val="center"/>
                </w:tcPr>
                <w:p>
                  <w:pPr>
                    <w:jc w:val="center"/>
                    <w:rPr>
                      <w:rFonts w:hint="eastAsia"/>
                      <w:sz w:val="21"/>
                      <w:szCs w:val="21"/>
                    </w:rPr>
                  </w:pPr>
                  <w:r>
                    <w:rPr>
                      <w:rFonts w:hint="eastAsia"/>
                      <w:sz w:val="21"/>
                      <w:szCs w:val="21"/>
                    </w:rPr>
                    <w:t>符合</w:t>
                  </w:r>
                </w:p>
              </w:tc>
            </w:tr>
          </w:tbl>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0" w:firstLineChars="200"/>
              <w:textAlignment w:val="auto"/>
              <w:outlineLvl w:val="2"/>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6</w:t>
            </w:r>
            <w:r>
              <w:rPr>
                <w:rFonts w:hint="default" w:ascii="Times New Roman" w:hAnsi="Times New Roman" w:eastAsia="宋体" w:cs="Times New Roman"/>
                <w:b w:val="0"/>
                <w:bCs w:val="0"/>
                <w:color w:val="auto"/>
                <w:sz w:val="24"/>
                <w:szCs w:val="24"/>
                <w:lang w:val="en-US" w:eastAsia="zh-CN"/>
              </w:rPr>
              <w:t>、与《江西省生态环境厅关于印发江西省重点行业挥发性有机物综合治理方案的通知》（赣环大气〔2019〕20号）的符合性分析</w:t>
            </w: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ind w:left="105" w:leftChars="50"/>
              <w:jc w:val="center"/>
              <w:textAlignment w:val="auto"/>
              <w:rPr>
                <w:rFonts w:hint="default" w:ascii="Times New Roman" w:hAnsi="Times New Roman" w:eastAsia="宋体" w:cs="Times New Roman"/>
                <w:b/>
                <w:bCs/>
                <w:snapToGrid w:val="0"/>
                <w:color w:val="auto"/>
                <w:sz w:val="21"/>
                <w:szCs w:val="21"/>
                <w:lang w:val="en-US" w:eastAsia="zh-CN"/>
              </w:rPr>
            </w:pPr>
          </w:p>
          <w:p>
            <w:pPr>
              <w:pStyle w:val="55"/>
              <w:keepNext w:val="0"/>
              <w:keepLines w:val="0"/>
              <w:pageBreakBefore w:val="0"/>
              <w:widowControl w:val="0"/>
              <w:kinsoku/>
              <w:wordWrap/>
              <w:overflowPunct/>
              <w:topLinePunct w:val="0"/>
              <w:autoSpaceDE w:val="0"/>
              <w:autoSpaceDN w:val="0"/>
              <w:bidi w:val="0"/>
              <w:adjustRightInd w:val="0"/>
              <w:snapToGrid/>
              <w:spacing w:line="240" w:lineRule="auto"/>
              <w:ind w:left="105" w:leftChars="5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snapToGrid w:val="0"/>
                <w:color w:val="auto"/>
                <w:sz w:val="21"/>
                <w:szCs w:val="21"/>
                <w:lang w:val="en-US" w:eastAsia="zh-CN"/>
              </w:rPr>
              <w:t>表1-</w:t>
            </w:r>
            <w:r>
              <w:rPr>
                <w:rFonts w:hint="eastAsia" w:ascii="Times New Roman" w:hAnsi="Times New Roman" w:cs="Times New Roman"/>
                <w:b/>
                <w:bCs/>
                <w:snapToGrid w:val="0"/>
                <w:color w:val="auto"/>
                <w:sz w:val="21"/>
                <w:szCs w:val="21"/>
                <w:lang w:val="en-US" w:eastAsia="zh-CN"/>
              </w:rPr>
              <w:t>5</w:t>
            </w:r>
            <w:r>
              <w:rPr>
                <w:rFonts w:hint="default" w:ascii="Times New Roman" w:hAnsi="Times New Roman" w:eastAsia="宋体" w:cs="Times New Roman"/>
                <w:b/>
                <w:bCs/>
                <w:snapToGrid w:val="0"/>
                <w:color w:val="auto"/>
                <w:sz w:val="21"/>
                <w:szCs w:val="21"/>
                <w:lang w:val="en-US" w:eastAsia="zh-CN"/>
              </w:rPr>
              <w:t xml:space="preserve">  挥发性有机物治理要求表</w:t>
            </w:r>
          </w:p>
          <w:tbl>
            <w:tblPr>
              <w:tblStyle w:val="28"/>
              <w:tblW w:w="49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3146"/>
              <w:gridCol w:w="30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14" w:type="pct"/>
                  <w:tcBorders>
                    <w:top w:val="single" w:color="auto" w:sz="12" w:space="0"/>
                    <w:bottom w:val="single" w:color="auto" w:sz="12" w:space="0"/>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textAlignment w:val="baseline"/>
                    <w:rPr>
                      <w:rFonts w:hint="default" w:ascii="Times New Roman" w:hAnsi="Times New Roman" w:eastAsia="宋体" w:cs="Times New Roman"/>
                      <w:b/>
                      <w:bCs/>
                      <w:snapToGrid w:val="0"/>
                      <w:color w:val="auto"/>
                      <w:sz w:val="21"/>
                      <w:szCs w:val="21"/>
                      <w:vertAlign w:val="baseline"/>
                      <w:lang w:eastAsia="zh-CN"/>
                    </w:rPr>
                  </w:pPr>
                  <w:r>
                    <w:rPr>
                      <w:rFonts w:hint="default" w:ascii="Times New Roman" w:hAnsi="Times New Roman" w:eastAsia="宋体" w:cs="Times New Roman"/>
                      <w:b/>
                      <w:bCs/>
                      <w:snapToGrid w:val="0"/>
                      <w:color w:val="auto"/>
                      <w:sz w:val="21"/>
                      <w:szCs w:val="21"/>
                      <w:vertAlign w:val="baseline"/>
                      <w:lang w:eastAsia="zh-CN"/>
                    </w:rPr>
                    <w:t>治理要求</w:t>
                  </w:r>
                </w:p>
              </w:tc>
              <w:tc>
                <w:tcPr>
                  <w:tcW w:w="2113" w:type="pct"/>
                  <w:tcBorders>
                    <w:top w:val="single" w:color="auto" w:sz="12" w:space="0"/>
                    <w:bottom w:val="single" w:color="auto" w:sz="12" w:space="0"/>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jc w:val="center"/>
                    <w:textAlignment w:val="baseline"/>
                    <w:rPr>
                      <w:rFonts w:hint="default" w:ascii="Times New Roman" w:hAnsi="Times New Roman" w:eastAsia="宋体" w:cs="Times New Roman"/>
                      <w:b/>
                      <w:bCs/>
                      <w:snapToGrid w:val="0"/>
                      <w:color w:val="auto"/>
                      <w:sz w:val="21"/>
                      <w:szCs w:val="21"/>
                      <w:vertAlign w:val="baseline"/>
                      <w:lang w:eastAsia="zh-CN"/>
                    </w:rPr>
                  </w:pPr>
                  <w:r>
                    <w:rPr>
                      <w:rFonts w:hint="default" w:ascii="Times New Roman" w:hAnsi="Times New Roman" w:eastAsia="宋体" w:cs="Times New Roman"/>
                      <w:b/>
                      <w:bCs/>
                      <w:snapToGrid w:val="0"/>
                      <w:color w:val="auto"/>
                      <w:sz w:val="21"/>
                      <w:szCs w:val="21"/>
                      <w:vertAlign w:val="baseline"/>
                      <w:lang w:eastAsia="zh-CN"/>
                    </w:rPr>
                    <w:t>具体措施</w:t>
                  </w:r>
                </w:p>
              </w:tc>
              <w:tc>
                <w:tcPr>
                  <w:tcW w:w="2071" w:type="pct"/>
                  <w:tcBorders>
                    <w:top w:val="single" w:color="auto" w:sz="12" w:space="0"/>
                    <w:bottom w:val="single" w:color="auto" w:sz="12" w:space="0"/>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jc w:val="center"/>
                    <w:textAlignment w:val="baseline"/>
                    <w:rPr>
                      <w:rFonts w:hint="default" w:ascii="Times New Roman" w:hAnsi="Times New Roman" w:eastAsia="宋体" w:cs="Times New Roman"/>
                      <w:b/>
                      <w:bCs/>
                      <w:snapToGrid w:val="0"/>
                      <w:color w:val="auto"/>
                      <w:sz w:val="21"/>
                      <w:szCs w:val="21"/>
                      <w:vertAlign w:val="baseline"/>
                      <w:lang w:eastAsia="zh-CN"/>
                    </w:rPr>
                  </w:pPr>
                  <w:r>
                    <w:rPr>
                      <w:rFonts w:hint="default" w:ascii="Times New Roman" w:hAnsi="Times New Roman" w:eastAsia="宋体" w:cs="Times New Roman"/>
                      <w:b/>
                      <w:bCs/>
                      <w:snapToGrid w:val="0"/>
                      <w:color w:val="auto"/>
                      <w:sz w:val="21"/>
                      <w:szCs w:val="21"/>
                      <w:vertAlign w:val="baseline"/>
                      <w:lang w:eastAsia="zh-CN"/>
                    </w:rPr>
                    <w:t>本项目情况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14" w:type="pct"/>
                  <w:tcBorders>
                    <w:top w:val="single" w:color="auto" w:sz="12" w:space="0"/>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jc w:val="center"/>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大力推进源头替代</w:t>
                  </w:r>
                </w:p>
              </w:tc>
              <w:tc>
                <w:tcPr>
                  <w:tcW w:w="2113" w:type="pct"/>
                  <w:tcBorders>
                    <w:top w:val="single" w:color="auto" w:sz="12" w:space="0"/>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lang w:eastAsia="zh-CN"/>
                    </w:rPr>
                  </w:pPr>
                  <w:r>
                    <w:rPr>
                      <w:rFonts w:hint="default" w:ascii="Times New Roman" w:hAnsi="Times New Roman" w:eastAsia="宋体" w:cs="Times New Roman"/>
                      <w:snapToGrid w:val="0"/>
                      <w:color w:val="auto"/>
                      <w:sz w:val="21"/>
                      <w:szCs w:val="21"/>
                      <w:lang w:eastAsia="zh-CN"/>
                    </w:rPr>
                    <w:t>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工业涂装、包装印刷等行业要加大源头替代力度；化工行业要推广使用低（无）VOCs含量、低反应活性的原辅材料，加快对芳香烃、含卤素有机化合物的绿色替代。企业应大力推广使用低VOCs含量木器涂料、车辆涂料、机械设备涂料、集装箱涂料以及建筑物和构筑物防护涂料等，在技术成熟的行业，推广使用低VOCs含量油墨和胶粘剂，重点区域到2020年年底前基本完成。鼓励加快低VOCs含量涂料、油墨、胶粘剂等研发和生产。</w:t>
                  </w:r>
                </w:p>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加强政策引导。企业采用符合国家有关低VOCs含量产品规定的涂料、油墨、胶粘剂等，排放浓度稳定达标且排放速率、排放绩效等满足相关规定的，相应生产工序可不要求建设末端治理设施。使用的原辅材料VOCs含量（质量比）低于10%的工序，可不要求采取无组织排放收集措施。</w:t>
                  </w:r>
                </w:p>
              </w:tc>
              <w:tc>
                <w:tcPr>
                  <w:tcW w:w="2071" w:type="pct"/>
                  <w:tcBorders>
                    <w:top w:val="single" w:color="auto" w:sz="12" w:space="0"/>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rPr>
                    <w:t>本项目选用先进的清洁生产</w:t>
                  </w:r>
                  <w:r>
                    <w:rPr>
                      <w:rFonts w:hint="default" w:ascii="Times New Roman" w:hAnsi="Times New Roman" w:eastAsia="宋体" w:cs="Times New Roman"/>
                      <w:snapToGrid w:val="0"/>
                      <w:color w:val="auto"/>
                      <w:sz w:val="21"/>
                      <w:szCs w:val="21"/>
                      <w:lang w:eastAsia="zh-CN"/>
                    </w:rPr>
                    <w:t>技术</w:t>
                  </w:r>
                  <w:r>
                    <w:rPr>
                      <w:rFonts w:hint="default" w:ascii="Times New Roman" w:hAnsi="Times New Roman" w:eastAsia="宋体" w:cs="Times New Roman"/>
                      <w:snapToGrid w:val="0"/>
                      <w:color w:val="auto"/>
                      <w:sz w:val="21"/>
                      <w:szCs w:val="21"/>
                    </w:rPr>
                    <w:t>，采用的原辅材料均为</w:t>
                  </w:r>
                  <w:r>
                    <w:rPr>
                      <w:rFonts w:hint="default" w:ascii="Times New Roman" w:hAnsi="Times New Roman" w:eastAsia="宋体" w:cs="Times New Roman"/>
                      <w:snapToGrid w:val="0"/>
                      <w:color w:val="auto"/>
                      <w:sz w:val="21"/>
                      <w:szCs w:val="21"/>
                      <w:lang w:eastAsia="zh-CN"/>
                    </w:rPr>
                    <w:t>环</w:t>
                  </w:r>
                  <w:r>
                    <w:rPr>
                      <w:rFonts w:hint="default" w:ascii="Times New Roman" w:hAnsi="Times New Roman" w:eastAsia="宋体" w:cs="Times New Roman"/>
                      <w:snapToGrid w:val="0"/>
                      <w:color w:val="auto"/>
                      <w:sz w:val="21"/>
                      <w:szCs w:val="21"/>
                    </w:rPr>
                    <w:t>保材料，</w:t>
                  </w:r>
                  <w:r>
                    <w:rPr>
                      <w:rFonts w:hint="default" w:ascii="Times New Roman" w:hAnsi="Times New Roman" w:eastAsia="宋体" w:cs="Times New Roman"/>
                      <w:snapToGrid w:val="0"/>
                      <w:color w:val="auto"/>
                      <w:sz w:val="21"/>
                      <w:szCs w:val="21"/>
                      <w:lang w:eastAsia="zh-CN"/>
                    </w:rPr>
                    <w:t>且</w:t>
                  </w:r>
                  <w:r>
                    <w:rPr>
                      <w:rFonts w:hint="default" w:ascii="Times New Roman" w:hAnsi="Times New Roman" w:eastAsia="宋体" w:cs="Times New Roman"/>
                      <w:snapToGrid w:val="0"/>
                      <w:color w:val="auto"/>
                      <w:sz w:val="21"/>
                      <w:szCs w:val="21"/>
                    </w:rPr>
                    <w:t>配套建设了VOCs治理设施，从源头减少VOCs排放。本项目符合“</w:t>
                  </w:r>
                  <w:r>
                    <w:rPr>
                      <w:rFonts w:hint="default" w:ascii="Times New Roman" w:hAnsi="Times New Roman" w:eastAsia="宋体" w:cs="Times New Roman"/>
                      <w:snapToGrid w:val="0"/>
                      <w:color w:val="auto"/>
                      <w:sz w:val="21"/>
                      <w:szCs w:val="21"/>
                      <w:lang w:eastAsia="zh-CN"/>
                    </w:rPr>
                    <w:t>大力推进源头替代</w:t>
                  </w:r>
                  <w:r>
                    <w:rPr>
                      <w:rFonts w:hint="default" w:ascii="Times New Roman" w:hAnsi="Times New Roman" w:eastAsia="宋体" w:cs="Times New Roman"/>
                      <w:snapToGrid w:val="0"/>
                      <w:color w:val="auto"/>
                      <w:sz w:val="21"/>
                      <w:szCs w:val="21"/>
                    </w:rPr>
                    <w:t>”要求</w:t>
                  </w:r>
                  <w:r>
                    <w:rPr>
                      <w:rFonts w:hint="default" w:ascii="Times New Roman" w:hAnsi="Times New Roman" w:eastAsia="宋体" w:cs="Times New Roman"/>
                      <w:snapToGrid w:val="0"/>
                      <w:color w:val="auto"/>
                      <w:sz w:val="21"/>
                      <w:szCs w:val="21"/>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4"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z w:val="21"/>
                      <w:szCs w:val="21"/>
                      <w:lang w:eastAsia="zh-CN"/>
                    </w:rPr>
                  </w:pPr>
                  <w:r>
                    <w:rPr>
                      <w:rFonts w:hint="default" w:ascii="Times New Roman" w:hAnsi="Times New Roman" w:eastAsia="宋体" w:cs="Times New Roman"/>
                      <w:snapToGrid w:val="0"/>
                      <w:color w:val="auto"/>
                      <w:sz w:val="21"/>
                      <w:szCs w:val="21"/>
                      <w:lang w:eastAsia="zh-CN"/>
                    </w:rPr>
                    <w:t>全面加强无组织排放控制</w:t>
                  </w:r>
                </w:p>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z w:val="21"/>
                      <w:szCs w:val="21"/>
                      <w:vertAlign w:val="baseline"/>
                      <w:lang w:eastAsia="zh-CN"/>
                    </w:rPr>
                  </w:pPr>
                </w:p>
              </w:tc>
              <w:tc>
                <w:tcPr>
                  <w:tcW w:w="2113"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2071"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eastAsia="zh-CN"/>
                    </w:rPr>
                    <w:t>项目</w:t>
                  </w:r>
                  <w:r>
                    <w:rPr>
                      <w:rFonts w:hint="default" w:ascii="Times New Roman" w:hAnsi="Times New Roman" w:eastAsia="宋体" w:cs="Times New Roman"/>
                      <w:snapToGrid w:val="0"/>
                      <w:color w:val="auto"/>
                      <w:sz w:val="21"/>
                      <w:szCs w:val="21"/>
                      <w:lang w:val="en-US" w:eastAsia="zh-CN"/>
                    </w:rPr>
                    <w:t>要求建设单位将项目产生的有机废气</w:t>
                  </w:r>
                  <w:r>
                    <w:rPr>
                      <w:rFonts w:hint="default" w:ascii="Times New Roman" w:hAnsi="Times New Roman" w:eastAsia="宋体" w:cs="Times New Roman"/>
                      <w:snapToGrid w:val="0"/>
                      <w:color w:val="auto"/>
                      <w:sz w:val="21"/>
                      <w:szCs w:val="21"/>
                    </w:rPr>
                    <w:t>经</w:t>
                  </w:r>
                  <w:r>
                    <w:rPr>
                      <w:rFonts w:hint="eastAsia" w:ascii="Times New Roman" w:hAnsi="Times New Roman" w:eastAsia="宋体" w:cs="Times New Roman"/>
                      <w:szCs w:val="20"/>
                      <w:lang w:val="en-US" w:eastAsia="zh-CN"/>
                    </w:rPr>
                    <w:t>过二级</w:t>
                  </w:r>
                  <w:r>
                    <w:rPr>
                      <w:rFonts w:hint="default" w:ascii="Times New Roman" w:hAnsi="Times New Roman" w:eastAsia="宋体" w:cs="Times New Roman"/>
                      <w:szCs w:val="20"/>
                    </w:rPr>
                    <w:t>活性炭吸附装置+</w:t>
                  </w:r>
                  <w:r>
                    <w:rPr>
                      <w:rFonts w:hint="eastAsia" w:ascii="Times New Roman" w:hAnsi="Times New Roman" w:eastAsia="宋体" w:cs="Times New Roman"/>
                      <w:szCs w:val="20"/>
                      <w:lang w:val="en-US" w:eastAsia="zh-CN"/>
                    </w:rPr>
                    <w:t>1</w:t>
                  </w:r>
                  <w:r>
                    <w:rPr>
                      <w:rFonts w:hint="default" w:ascii="Times New Roman" w:hAnsi="Times New Roman" w:eastAsia="宋体" w:cs="Times New Roman"/>
                      <w:szCs w:val="20"/>
                    </w:rPr>
                    <w:t>5m高排气筒</w:t>
                  </w:r>
                  <w:r>
                    <w:rPr>
                      <w:rFonts w:hint="default" w:ascii="Times New Roman" w:hAnsi="Times New Roman" w:eastAsia="宋体" w:cs="Times New Roman"/>
                      <w:snapToGrid w:val="0"/>
                      <w:color w:val="auto"/>
                      <w:sz w:val="21"/>
                      <w:szCs w:val="21"/>
                      <w:lang w:val="en-US" w:eastAsia="zh-CN"/>
                    </w:rPr>
                    <w:t>处理，项目废气以有组织排放为主，满足方案要求</w:t>
                  </w:r>
                  <w:r>
                    <w:rPr>
                      <w:rFonts w:hint="default" w:ascii="Times New Roman" w:hAnsi="Times New Roman" w:eastAsia="宋体" w:cs="Times New Roman"/>
                      <w:snapToGrid w:val="0"/>
                      <w:color w:val="auto"/>
                      <w:sz w:val="21"/>
                      <w:szCs w:val="21"/>
                      <w:lang w:eastAsia="zh-CN"/>
                    </w:rPr>
                    <w:t>。</w:t>
                  </w:r>
                </w:p>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vertAlign w:val="baseli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14"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eastAsia="zh-CN"/>
                    </w:rPr>
                    <w:t>推进建设适宜高效的治污设施</w:t>
                  </w:r>
                </w:p>
              </w:tc>
              <w:tc>
                <w:tcPr>
                  <w:tcW w:w="2113"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0" w:firstLineChars="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color w:val="auto"/>
                      <w:lang w:eastAsia="zh-CN"/>
                    </w:rPr>
                    <w:t>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非水溶性的VOCs废气禁止采用水或水溶液喷淋吸收处理。采用一次性活性炭吸附技术的，应定期更换活性炭，废旧活性炭应再生或处理处置。有条件的工业园区和产业集群等，推广集中喷涂、溶剂集中回收、活性炭集中再生等，加强资源共享，提高VOCs治理效率。规范工程设计。采用吸附处理工艺的，应满足《吸附法工业有机废气治理工程技术规范》要求。采用催化燃烧工艺的，应满足《催化燃烧法工业有机废气治理工程技术规范》要求。采用蓄热燃烧等其他处理工艺的，应按相关技术规范要求设计。</w:t>
                  </w:r>
                </w:p>
              </w:tc>
              <w:tc>
                <w:tcPr>
                  <w:tcW w:w="2071" w:type="pct"/>
                  <w:tcBorders>
                    <w:tl2br w:val="nil"/>
                    <w:tr2bl w:val="nil"/>
                  </w:tcBorders>
                  <w:noWrap w:val="0"/>
                  <w:vAlign w:val="center"/>
                </w:tcPr>
                <w:p>
                  <w:pPr>
                    <w:keepNext w:val="0"/>
                    <w:keepLines w:val="0"/>
                    <w:pageBreakBefore w:val="0"/>
                    <w:widowControl/>
                    <w:tabs>
                      <w:tab w:val="left" w:pos="0"/>
                    </w:tabs>
                    <w:kinsoku/>
                    <w:wordWrap/>
                    <w:overflowPunct w:val="0"/>
                    <w:topLinePunct/>
                    <w:autoSpaceDE w:val="0"/>
                    <w:autoSpaceDN/>
                    <w:bidi w:val="0"/>
                    <w:adjustRightInd w:val="0"/>
                    <w:snapToGrid w:val="0"/>
                    <w:spacing w:line="240" w:lineRule="auto"/>
                    <w:ind w:firstLine="420" w:firstLineChars="200"/>
                    <w:jc w:val="left"/>
                    <w:textAlignment w:val="baseline"/>
                    <w:rPr>
                      <w:rFonts w:hint="default" w:ascii="Times New Roman" w:hAnsi="Times New Roman" w:eastAsia="宋体" w:cs="Times New Roman"/>
                      <w:snapToGrid w:val="0"/>
                      <w:color w:val="auto"/>
                      <w:sz w:val="21"/>
                      <w:szCs w:val="21"/>
                      <w:vertAlign w:val="baseline"/>
                      <w:lang w:eastAsia="zh-CN"/>
                    </w:rPr>
                  </w:pPr>
                  <w:r>
                    <w:rPr>
                      <w:rFonts w:hint="default" w:ascii="Times New Roman" w:hAnsi="Times New Roman" w:eastAsia="宋体" w:cs="Times New Roman"/>
                      <w:snapToGrid w:val="0"/>
                      <w:color w:val="auto"/>
                      <w:sz w:val="21"/>
                      <w:szCs w:val="21"/>
                      <w:lang w:val="en-US" w:eastAsia="zh-CN"/>
                    </w:rPr>
                    <w:t>项目产生的有机废气</w:t>
                  </w:r>
                  <w:r>
                    <w:rPr>
                      <w:rFonts w:hint="default" w:ascii="Times New Roman" w:hAnsi="Times New Roman" w:eastAsia="宋体" w:cs="Times New Roman"/>
                      <w:snapToGrid w:val="0"/>
                      <w:color w:val="auto"/>
                      <w:sz w:val="21"/>
                      <w:szCs w:val="21"/>
                    </w:rPr>
                    <w:t>经</w:t>
                  </w:r>
                  <w:r>
                    <w:rPr>
                      <w:rFonts w:hint="eastAsia" w:ascii="Times New Roman" w:hAnsi="Times New Roman" w:eastAsia="宋体" w:cs="Times New Roman"/>
                      <w:szCs w:val="20"/>
                      <w:lang w:val="en-US" w:eastAsia="zh-CN"/>
                    </w:rPr>
                    <w:t>过二级</w:t>
                  </w:r>
                  <w:r>
                    <w:rPr>
                      <w:rFonts w:hint="default" w:ascii="Times New Roman" w:hAnsi="Times New Roman" w:eastAsia="宋体" w:cs="Times New Roman"/>
                      <w:szCs w:val="20"/>
                    </w:rPr>
                    <w:t>活性炭吸附装置+</w:t>
                  </w:r>
                  <w:r>
                    <w:rPr>
                      <w:rFonts w:hint="eastAsia" w:ascii="Times New Roman" w:hAnsi="Times New Roman" w:eastAsia="宋体" w:cs="Times New Roman"/>
                      <w:szCs w:val="20"/>
                      <w:lang w:val="en-US" w:eastAsia="zh-CN"/>
                    </w:rPr>
                    <w:t>1</w:t>
                  </w:r>
                  <w:r>
                    <w:rPr>
                      <w:rFonts w:hint="default" w:ascii="Times New Roman" w:hAnsi="Times New Roman" w:eastAsia="宋体" w:cs="Times New Roman"/>
                      <w:szCs w:val="20"/>
                    </w:rPr>
                    <w:t>5m高排气筒</w:t>
                  </w:r>
                  <w:r>
                    <w:rPr>
                      <w:rFonts w:hint="default" w:ascii="Times New Roman" w:hAnsi="Times New Roman" w:eastAsia="宋体" w:cs="Times New Roman"/>
                      <w:snapToGrid w:val="0"/>
                      <w:color w:val="auto"/>
                      <w:sz w:val="21"/>
                      <w:szCs w:val="21"/>
                      <w:lang w:val="en-US" w:eastAsia="zh-CN"/>
                    </w:rPr>
                    <w:t>处理，其效率可达</w:t>
                  </w:r>
                  <w:r>
                    <w:rPr>
                      <w:rFonts w:hint="eastAsia" w:ascii="Times New Roman" w:hAnsi="Times New Roman" w:eastAsia="宋体" w:cs="Times New Roman"/>
                      <w:snapToGrid w:val="0"/>
                      <w:color w:val="auto"/>
                      <w:sz w:val="21"/>
                      <w:szCs w:val="21"/>
                      <w:lang w:val="en-US" w:eastAsia="zh-CN"/>
                    </w:rPr>
                    <w:t>8</w:t>
                  </w:r>
                  <w:r>
                    <w:rPr>
                      <w:rFonts w:hint="default" w:ascii="Times New Roman" w:hAnsi="Times New Roman" w:eastAsia="宋体" w:cs="Times New Roman"/>
                      <w:snapToGrid w:val="0"/>
                      <w:color w:val="auto"/>
                      <w:sz w:val="21"/>
                      <w:szCs w:val="21"/>
                      <w:lang w:val="en-US" w:eastAsia="zh-CN"/>
                    </w:rPr>
                    <w:t>0%，且定期对吸附饱和的活性炭进行更换，可满足方案中治理要求。</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cs="宋体"/>
                <w:color w:val="auto"/>
                <w:lang w:val="en-US" w:eastAsia="zh-CN"/>
              </w:rPr>
            </w:pPr>
            <w:r>
              <w:rPr>
                <w:rFonts w:hint="default" w:ascii="Times New Roman" w:hAnsi="Times New Roman" w:eastAsia="宋体" w:cs="Times New Roman"/>
                <w:szCs w:val="21"/>
              </w:rPr>
              <w:t>综上，项目生产可满足</w:t>
            </w:r>
            <w:r>
              <w:rPr>
                <w:rFonts w:hint="default" w:ascii="Times New Roman" w:hAnsi="Times New Roman" w:eastAsia="宋体" w:cs="Times New Roman"/>
                <w:szCs w:val="21"/>
                <w:lang w:val="en-US" w:eastAsia="zh-CN"/>
              </w:rPr>
              <w:t>《江西省生态环境厅关于印发江西省重点行业挥发性有机物综合治理方案的通知》（赣环大气〔2019〕20 号）</w:t>
            </w:r>
            <w:r>
              <w:rPr>
                <w:rFonts w:hint="default" w:ascii="Times New Roman" w:hAnsi="Times New Roman" w:eastAsia="宋体" w:cs="Times New Roman"/>
                <w:szCs w:val="21"/>
              </w:rPr>
              <w:t>中的相关要求。</w:t>
            </w:r>
          </w:p>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color w:val="auto"/>
              </w:rPr>
            </w:pPr>
            <w:r>
              <w:rPr>
                <w:rFonts w:hint="eastAsia" w:cs="宋体"/>
                <w:color w:val="auto"/>
                <w:lang w:val="en-US" w:eastAsia="zh-CN"/>
              </w:rPr>
              <w:t>7、</w:t>
            </w:r>
            <w:r>
              <w:rPr>
                <w:rFonts w:ascii="Times New Roman" w:hAnsi="Times New Roman" w:eastAsia="宋体" w:cs="宋体"/>
                <w:color w:val="auto"/>
              </w:rPr>
              <w:t>与</w:t>
            </w:r>
            <w:r>
              <w:rPr>
                <w:rFonts w:ascii="Times New Roman" w:hAnsi="Times New Roman" w:eastAsia="宋体" w:cs="宋体"/>
                <w:color w:val="auto"/>
                <w:lang w:val="en-US" w:eastAsia="zh-CN"/>
              </w:rPr>
              <w:t>《江西省长江经济带发展负面清单实施细则（试行，</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年版）》（赣长江办〔</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w:t>
            </w:r>
            <w:r>
              <w:rPr>
                <w:rFonts w:hint="default" w:ascii="Times New Roman" w:hAnsi="Times New Roman" w:eastAsia="宋体" w:cs="宋体"/>
                <w:color w:val="auto"/>
                <w:lang w:val="en-US" w:eastAsia="zh-CN"/>
              </w:rPr>
              <w:t>7</w:t>
            </w:r>
            <w:r>
              <w:rPr>
                <w:rFonts w:ascii="Times New Roman" w:hAnsi="Times New Roman" w:eastAsia="宋体" w:cs="宋体"/>
                <w:color w:val="auto"/>
                <w:lang w:val="en-US" w:eastAsia="zh-CN"/>
              </w:rPr>
              <w:t>号）的相符性分析</w:t>
            </w:r>
          </w:p>
          <w:p>
            <w:pPr>
              <w:pStyle w:val="67"/>
              <w:rPr>
                <w:rFonts w:ascii="Times New Roman" w:hAnsi="Times New Roman" w:eastAsia="宋体" w:cs="宋体"/>
                <w:color w:val="auto"/>
              </w:rPr>
            </w:pPr>
            <w:r>
              <w:rPr>
                <w:rFonts w:ascii="Times New Roman" w:hAnsi="Times New Roman" w:eastAsia="宋体" w:cs="宋体"/>
                <w:color w:val="auto"/>
              </w:rPr>
              <w:t>表</w:t>
            </w:r>
            <w:r>
              <w:rPr>
                <w:rFonts w:hint="eastAsia" w:ascii="Times New Roman" w:hAnsi="Times New Roman" w:eastAsia="宋体" w:cs="宋体"/>
                <w:color w:val="auto"/>
              </w:rPr>
              <w:t>1-</w:t>
            </w:r>
            <w:r>
              <w:rPr>
                <w:rFonts w:hint="eastAsia" w:cs="宋体"/>
                <w:color w:val="auto"/>
                <w:lang w:val="en-US" w:eastAsia="zh-CN"/>
              </w:rPr>
              <w:t>6</w:t>
            </w:r>
            <w:r>
              <w:rPr>
                <w:rFonts w:hint="eastAsia" w:ascii="Times New Roman" w:hAnsi="Times New Roman" w:eastAsia="宋体" w:cs="宋体"/>
                <w:color w:val="auto"/>
              </w:rPr>
              <w:t xml:space="preserve"> </w:t>
            </w:r>
            <w:r>
              <w:rPr>
                <w:rFonts w:ascii="Times New Roman" w:hAnsi="Times New Roman" w:eastAsia="宋体" w:cs="宋体"/>
                <w:color w:val="auto"/>
              </w:rPr>
              <w:t>与</w:t>
            </w:r>
            <w:r>
              <w:rPr>
                <w:rFonts w:ascii="Times New Roman" w:hAnsi="Times New Roman" w:eastAsia="宋体" w:cs="宋体"/>
                <w:color w:val="auto"/>
                <w:lang w:val="en-US" w:eastAsia="zh-CN"/>
              </w:rPr>
              <w:t>《江西省长江经济带发展负面清单实施细则（试行，</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年版）》（赣长江办〔</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w:t>
            </w:r>
            <w:r>
              <w:rPr>
                <w:rFonts w:hint="default" w:ascii="Times New Roman" w:hAnsi="Times New Roman" w:eastAsia="宋体" w:cs="宋体"/>
                <w:color w:val="auto"/>
                <w:lang w:val="en-US" w:eastAsia="zh-CN"/>
              </w:rPr>
              <w:t>7</w:t>
            </w:r>
            <w:r>
              <w:rPr>
                <w:rFonts w:ascii="Times New Roman" w:hAnsi="Times New Roman" w:eastAsia="宋体" w:cs="宋体"/>
                <w:color w:val="auto"/>
                <w:lang w:val="en-US" w:eastAsia="zh-CN"/>
              </w:rPr>
              <w:t>号）</w:t>
            </w:r>
            <w:r>
              <w:rPr>
                <w:rFonts w:ascii="Times New Roman" w:hAnsi="Times New Roman" w:eastAsia="宋体" w:cs="宋体"/>
                <w:color w:val="auto"/>
              </w:rPr>
              <w:t>相符性分析</w:t>
            </w:r>
          </w:p>
          <w:tbl>
            <w:tblPr>
              <w:tblStyle w:val="27"/>
              <w:tblW w:w="4997"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2369"/>
              <w:gridCol w:w="928"/>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8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内容</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本项目情况</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符合性</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1.禁止建设不符合全国和省级港口布局规划以及港口总体规划的码头项目，禁止建设不符合《长江干线过江通道布局规划》的过长江通道项目。</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w:t>
                  </w:r>
                  <w:r>
                    <w:rPr>
                      <w:rFonts w:hint="eastAsia" w:ascii="Times New Roman" w:hAnsi="Times New Roman" w:eastAsia="宋体" w:cs="宋体"/>
                      <w:color w:val="auto"/>
                      <w:lang w:val="en-US" w:eastAsia="zh-CN"/>
                    </w:rPr>
                    <w:t>不属于码头项目，不属于长江通道项目</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2.禁止在自然保护区核心区、缓冲区的岸线和河段范围内投资建设旅游和生产经营项目。禁止在风景名胜区核心景区的岸线和河段范围内投资建设与风景名胜资源保护无关的项目。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w:t>
                  </w:r>
                  <w:r>
                    <w:rPr>
                      <w:rFonts w:hint="eastAsia" w:cs="宋体"/>
                      <w:color w:val="auto"/>
                      <w:lang w:val="en-US" w:eastAsia="zh-CN"/>
                    </w:rPr>
                    <w:t>不属于</w:t>
                  </w:r>
                  <w:r>
                    <w:rPr>
                      <w:rFonts w:hint="eastAsia" w:ascii="Times New Roman" w:hAnsi="Times New Roman" w:eastAsia="宋体" w:cs="宋体"/>
                      <w:color w:val="auto"/>
                    </w:rPr>
                    <w:t>旅游和生产经营项目</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3.禁止在饮用水水源一级保护区的岸线和河段范围内新建、改建、扩建与供水设施和保护水源无关的项目，以及网箱养殖、畜禽养殖、旅游等可能污染饮用水水体的投资建设项目。禁止在饮用水水源二级保护区的岸线和河段范围内新建、改建、扩建排放污染物的投资建设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本项目位于</w:t>
                  </w:r>
                  <w:r>
                    <w:rPr>
                      <w:rFonts w:hint="eastAsia" w:ascii="Times New Roman" w:hAnsi="Times New Roman" w:eastAsia="宋体" w:cs="宋体"/>
                      <w:color w:val="auto"/>
                    </w:rPr>
                    <w:t>江西省上饶经济技术开发区兴业大道21号A栋</w:t>
                  </w:r>
                  <w:r>
                    <w:rPr>
                      <w:rFonts w:ascii="Times New Roman" w:hAnsi="Times New Roman" w:eastAsia="宋体" w:cs="宋体"/>
                      <w:color w:val="auto"/>
                    </w:rPr>
                    <w:t>，不在</w:t>
                  </w:r>
                  <w:r>
                    <w:rPr>
                      <w:rFonts w:hint="eastAsia" w:ascii="Times New Roman" w:hAnsi="Times New Roman" w:eastAsia="宋体" w:cs="宋体"/>
                      <w:color w:val="auto"/>
                    </w:rPr>
                    <w:t>饮用水水源一级保护区的岸线和河段范围内</w:t>
                  </w:r>
                  <w:r>
                    <w:rPr>
                      <w:rFonts w:hint="eastAsia" w:cs="宋体"/>
                      <w:color w:val="auto"/>
                      <w:lang w:eastAsia="zh-CN"/>
                    </w:rPr>
                    <w:t>，</w:t>
                  </w:r>
                  <w:r>
                    <w:rPr>
                      <w:rFonts w:hint="eastAsia" w:cs="宋体"/>
                      <w:color w:val="auto"/>
                      <w:lang w:val="en-US" w:eastAsia="zh-CN"/>
                    </w:rPr>
                    <w:t>不</w:t>
                  </w:r>
                  <w:r>
                    <w:rPr>
                      <w:rFonts w:hint="eastAsia" w:ascii="Times New Roman" w:hAnsi="Times New Roman" w:eastAsia="宋体" w:cs="宋体"/>
                      <w:color w:val="auto"/>
                    </w:rPr>
                    <w:t>在饮用水水源二级保护区的岸线和河段范围内</w:t>
                  </w:r>
                  <w:r>
                    <w:rPr>
                      <w:rFonts w:ascii="Times New Roman" w:hAnsi="Times New Roman" w:eastAsia="宋体" w:cs="宋体"/>
                      <w:color w:val="auto"/>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4.禁止在水产种质资源保护区的岸线和河段范围内新建围湖造田、围海造地或围填海等投资建设项目。禁止在国家湿地公园的岸线和河段范围内挖沙、采矿，以及任何不符合主体功能定位的投资建设项目。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本项目位于</w:t>
                  </w:r>
                  <w:r>
                    <w:rPr>
                      <w:rFonts w:hint="eastAsia" w:ascii="Times New Roman" w:hAnsi="Times New Roman" w:eastAsia="宋体" w:cs="宋体"/>
                      <w:color w:val="auto"/>
                    </w:rPr>
                    <w:t>江西省上饶经济技术开发区兴业大道21号A栋</w:t>
                  </w:r>
                  <w:r>
                    <w:rPr>
                      <w:rFonts w:ascii="Times New Roman" w:hAnsi="Times New Roman" w:eastAsia="宋体" w:cs="宋体"/>
                      <w:color w:val="auto"/>
                    </w:rPr>
                    <w:t>，不在</w:t>
                  </w:r>
                  <w:r>
                    <w:rPr>
                      <w:rFonts w:hint="eastAsia" w:ascii="Times New Roman" w:hAnsi="Times New Roman" w:eastAsia="宋体" w:cs="宋体"/>
                      <w:color w:val="auto"/>
                    </w:rPr>
                    <w:t>水产种质资源保护区的岸线和河段范围内</w:t>
                  </w:r>
                  <w:r>
                    <w:rPr>
                      <w:rFonts w:hint="eastAsia" w:cs="宋体"/>
                      <w:color w:val="auto"/>
                      <w:lang w:eastAsia="zh-CN"/>
                    </w:rPr>
                    <w:t>，</w:t>
                  </w:r>
                  <w:r>
                    <w:rPr>
                      <w:rFonts w:hint="eastAsia" w:cs="宋体"/>
                      <w:color w:val="auto"/>
                      <w:lang w:val="en-US" w:eastAsia="zh-CN"/>
                    </w:rPr>
                    <w:t>不在</w:t>
                  </w:r>
                  <w:r>
                    <w:rPr>
                      <w:rFonts w:hint="eastAsia" w:ascii="Times New Roman" w:hAnsi="Times New Roman" w:eastAsia="宋体" w:cs="宋体"/>
                      <w:color w:val="auto"/>
                    </w:rPr>
                    <w:t>国家湿地公园的岸线和河段范围内</w:t>
                  </w:r>
                  <w:r>
                    <w:rPr>
                      <w:rFonts w:ascii="Times New Roman" w:hAnsi="Times New Roman" w:eastAsia="宋体" w:cs="宋体"/>
                      <w:color w:val="auto"/>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5.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禁止在《全国重要江河湖泊水功能区划》划定的河段及湖泊保护区、保留区内投资建设不利于水资源及自然生态保护的项目。</w:t>
                  </w:r>
                </w:p>
              </w:tc>
              <w:tc>
                <w:tcPr>
                  <w:tcW w:w="1592"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本项目</w:t>
                  </w:r>
                  <w:r>
                    <w:rPr>
                      <w:rFonts w:hint="eastAsia" w:cs="宋体"/>
                      <w:color w:val="auto"/>
                      <w:lang w:val="en-US" w:eastAsia="zh-CN"/>
                    </w:rPr>
                    <w:t>未</w:t>
                  </w:r>
                  <w:r>
                    <w:rPr>
                      <w:rFonts w:hint="eastAsia" w:ascii="Times New Roman" w:hAnsi="Times New Roman" w:eastAsia="宋体" w:cs="宋体"/>
                      <w:color w:val="auto"/>
                    </w:rPr>
                    <w:t>利用、占用长江流域河湖岸线</w:t>
                  </w:r>
                  <w:r>
                    <w:rPr>
                      <w:rFonts w:hint="eastAsia" w:ascii="Times New Roman" w:hAnsi="Times New Roman" w:eastAsia="宋体" w:cs="宋体"/>
                      <w:color w:val="auto"/>
                      <w:lang w:eastAsia="zh-CN"/>
                    </w:rPr>
                    <w:t>，</w:t>
                  </w:r>
                  <w:r>
                    <w:rPr>
                      <w:rFonts w:ascii="Times New Roman" w:hAnsi="Times New Roman" w:eastAsia="宋体" w:cs="宋体"/>
                      <w:color w:val="auto"/>
                    </w:rPr>
                    <w:t>不在</w:t>
                  </w:r>
                  <w:r>
                    <w:rPr>
                      <w:rFonts w:hint="eastAsia" w:ascii="Times New Roman" w:hAnsi="Times New Roman" w:eastAsia="宋体" w:cs="宋体"/>
                      <w:color w:val="auto"/>
                    </w:rPr>
                    <w:t>《长江岸线保护和开发利用总体规划》划定的岸线保护区和保留区内</w:t>
                  </w:r>
                  <w:r>
                    <w:rPr>
                      <w:rFonts w:hint="eastAsia" w:ascii="Times New Roman" w:hAnsi="Times New Roman" w:eastAsia="宋体" w:cs="宋体"/>
                      <w:color w:val="auto"/>
                      <w:lang w:eastAsia="zh-CN"/>
                    </w:rPr>
                    <w:t>，</w:t>
                  </w:r>
                  <w:r>
                    <w:rPr>
                      <w:rFonts w:hint="eastAsia" w:ascii="Times New Roman" w:hAnsi="Times New Roman" w:eastAsia="宋体" w:cs="宋体"/>
                      <w:color w:val="auto"/>
                      <w:lang w:val="en-US" w:eastAsia="zh-CN"/>
                    </w:rPr>
                    <w:t>不</w:t>
                  </w:r>
                  <w:r>
                    <w:rPr>
                      <w:rFonts w:hint="eastAsia" w:ascii="Times New Roman" w:hAnsi="Times New Roman" w:eastAsia="宋体" w:cs="宋体"/>
                      <w:color w:val="auto"/>
                    </w:rPr>
                    <w:t>在《全国重要江河湖泊水功能区划》划定的河段及湖泊保护区、保留区内</w:t>
                  </w:r>
                  <w:r>
                    <w:rPr>
                      <w:rFonts w:ascii="Times New Roman" w:hAnsi="Times New Roman" w:eastAsia="宋体" w:cs="宋体"/>
                      <w:color w:val="auto"/>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6.禁止未经许可在长江干支流及湖泊新设、改设或扩大排污口。</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不在</w:t>
                  </w:r>
                  <w:r>
                    <w:rPr>
                      <w:rFonts w:hint="eastAsia" w:ascii="Times New Roman" w:hAnsi="Times New Roman" w:eastAsia="宋体" w:cs="宋体"/>
                      <w:color w:val="auto"/>
                    </w:rPr>
                    <w:t>长江干支流及湖泊</w:t>
                  </w:r>
                  <w:r>
                    <w:rPr>
                      <w:rFonts w:hint="eastAsia" w:ascii="Times New Roman" w:hAnsi="Times New Roman" w:eastAsia="宋体" w:cs="宋体"/>
                      <w:color w:val="auto"/>
                      <w:lang w:val="en-US" w:eastAsia="zh-CN"/>
                    </w:rPr>
                    <w:t>。</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7.禁止在“一江一口两湖七河”和332个水生生物保护区开展生产性捕捞。</w:t>
                  </w:r>
                </w:p>
              </w:tc>
              <w:tc>
                <w:tcPr>
                  <w:tcW w:w="1592" w:type="pct"/>
                  <w:vAlign w:val="center"/>
                </w:tcPr>
                <w:p>
                  <w:pPr>
                    <w:pStyle w:val="69"/>
                    <w:bidi w:val="0"/>
                    <w:jc w:val="center"/>
                    <w:rPr>
                      <w:rFonts w:hint="eastAsia"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不涉及生产性</w:t>
                  </w:r>
                </w:p>
                <w:p>
                  <w:pPr>
                    <w:pStyle w:val="69"/>
                    <w:bidi w:val="0"/>
                    <w:jc w:val="center"/>
                    <w:rPr>
                      <w:rFonts w:hint="default" w:ascii="Times New Roman" w:hAnsi="Times New Roman" w:eastAsia="宋体" w:cs="宋体"/>
                      <w:color w:val="auto"/>
                      <w:lang w:val="en-US" w:eastAsia="zh-CN"/>
                    </w:rPr>
                  </w:pPr>
                  <w:r>
                    <w:rPr>
                      <w:rFonts w:hint="eastAsia" w:cs="宋体"/>
                      <w:color w:val="auto"/>
                      <w:lang w:val="en-US" w:eastAsia="zh-CN"/>
                    </w:rPr>
                    <w:t>捕捞</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8.禁止在长江干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不属于化工项目，未涉及</w:t>
                  </w:r>
                  <w:r>
                    <w:rPr>
                      <w:rFonts w:hint="eastAsia" w:ascii="Times New Roman" w:hAnsi="Times New Roman" w:eastAsia="宋体" w:cs="宋体"/>
                      <w:color w:val="auto"/>
                    </w:rPr>
                    <w:t>尾矿库、冶炼渣库和磷石膏库</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9.禁止在合规园区外新建、扩建钢铁、石化、化工、焦化、建材、有色、制浆造纸等高污染项目。</w:t>
                  </w:r>
                </w:p>
              </w:tc>
              <w:tc>
                <w:tcPr>
                  <w:tcW w:w="1592" w:type="pct"/>
                  <w:vAlign w:val="center"/>
                </w:tcPr>
                <w:p>
                  <w:pPr>
                    <w:pStyle w:val="69"/>
                    <w:bidi w:val="0"/>
                    <w:jc w:val="center"/>
                    <w:rPr>
                      <w:rFonts w:hint="eastAsia" w:cs="宋体"/>
                      <w:color w:val="auto"/>
                      <w:lang w:val="en-US" w:eastAsia="zh-CN"/>
                    </w:rPr>
                  </w:pPr>
                  <w:r>
                    <w:rPr>
                      <w:rFonts w:ascii="Times New Roman" w:hAnsi="Times New Roman" w:eastAsia="宋体" w:cs="宋体"/>
                      <w:color w:val="auto"/>
                    </w:rPr>
                    <w:t>本项目</w:t>
                  </w:r>
                  <w:r>
                    <w:rPr>
                      <w:rFonts w:hint="eastAsia" w:cs="宋体"/>
                      <w:color w:val="auto"/>
                      <w:lang w:val="en-US" w:eastAsia="zh-CN"/>
                    </w:rPr>
                    <w:t>不属于高污染</w:t>
                  </w:r>
                </w:p>
                <w:p>
                  <w:pPr>
                    <w:pStyle w:val="69"/>
                    <w:bidi w:val="0"/>
                    <w:jc w:val="center"/>
                    <w:rPr>
                      <w:rFonts w:hint="default" w:ascii="Times New Roman" w:hAnsi="Times New Roman" w:eastAsia="宋体" w:cs="宋体"/>
                      <w:color w:val="auto"/>
                      <w:lang w:val="en-US" w:eastAsia="zh-CN"/>
                    </w:rPr>
                  </w:pPr>
                  <w:r>
                    <w:rPr>
                      <w:rFonts w:hint="eastAsia" w:cs="宋体"/>
                      <w:color w:val="auto"/>
                      <w:lang w:val="en-US" w:eastAsia="zh-CN"/>
                    </w:rPr>
                    <w:t>项目</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10.禁止新建、扩建不符合国家石化、现代煤化工等产业布局规划的项目。</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本项目为</w:t>
                  </w:r>
                  <w:r>
                    <w:rPr>
                      <w:rFonts w:hint="eastAsia" w:ascii="Times New Roman" w:hAnsi="Times New Roman" w:eastAsia="宋体" w:cs="宋体"/>
                      <w:color w:val="auto"/>
                    </w:rPr>
                    <w:t>光学仪器制造</w:t>
                  </w:r>
                  <w:r>
                    <w:rPr>
                      <w:rFonts w:ascii="Times New Roman" w:hAnsi="Times New Roman" w:eastAsia="宋体" w:cs="宋体"/>
                      <w:color w:val="auto"/>
                    </w:rPr>
                    <w:t>，</w:t>
                  </w:r>
                  <w:r>
                    <w:rPr>
                      <w:rFonts w:hint="eastAsia" w:cs="宋体"/>
                      <w:color w:val="auto"/>
                      <w:lang w:val="en-US" w:eastAsia="zh-CN"/>
                    </w:rPr>
                    <w:t>符合产业布局规划</w:t>
                  </w:r>
                </w:p>
              </w:tc>
              <w:tc>
                <w:tcPr>
                  <w:tcW w:w="623" w:type="pct"/>
                  <w:vAlign w:val="center"/>
                </w:tcPr>
                <w:p>
                  <w:pPr>
                    <w:pStyle w:val="69"/>
                    <w:bidi w:val="0"/>
                    <w:jc w:val="center"/>
                    <w:rPr>
                      <w:rFonts w:ascii="Times New Roman" w:hAnsi="Times New Roman" w:eastAsia="宋体" w:cs="宋体"/>
                      <w:color w:val="auto"/>
                    </w:rPr>
                  </w:pPr>
                  <w:r>
                    <w:rPr>
                      <w:rFonts w:ascii="Times New Roman" w:hAnsi="Times New Roman" w:eastAsia="宋体" w:cs="宋体"/>
                      <w:color w:val="auto"/>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11.禁止新建、扩建法律法规和相关政策明令禁止的落后产能项目。禁止新建、扩建不符合国家产能置换要求的严重过剩产能行业的项目。禁止新建、扩建不符合要求的高耗能高排放项目。</w:t>
                  </w:r>
                </w:p>
              </w:tc>
              <w:tc>
                <w:tcPr>
                  <w:tcW w:w="1592" w:type="pct"/>
                  <w:vAlign w:val="center"/>
                </w:tcPr>
                <w:p>
                  <w:pPr>
                    <w:pStyle w:val="69"/>
                    <w:bidi w:val="0"/>
                    <w:jc w:val="center"/>
                    <w:rPr>
                      <w:rFonts w:hint="default" w:ascii="Times New Roman" w:hAnsi="Times New Roman" w:eastAsia="宋体" w:cs="宋体"/>
                      <w:color w:val="auto"/>
                      <w:lang w:val="en-US" w:eastAsia="zh-CN"/>
                    </w:rPr>
                  </w:pPr>
                  <w:r>
                    <w:rPr>
                      <w:rFonts w:ascii="Times New Roman" w:hAnsi="Times New Roman" w:eastAsia="宋体" w:cs="宋体"/>
                      <w:color w:val="auto"/>
                    </w:rPr>
                    <w:t>本项目为</w:t>
                  </w:r>
                  <w:r>
                    <w:rPr>
                      <w:rFonts w:hint="eastAsia" w:ascii="Times New Roman" w:hAnsi="Times New Roman" w:eastAsia="宋体" w:cs="宋体"/>
                      <w:color w:val="auto"/>
                    </w:rPr>
                    <w:t>光学仪器制造</w:t>
                  </w:r>
                  <w:r>
                    <w:rPr>
                      <w:rFonts w:ascii="Times New Roman" w:hAnsi="Times New Roman" w:eastAsia="宋体" w:cs="宋体"/>
                      <w:color w:val="auto"/>
                    </w:rPr>
                    <w:t>，</w:t>
                  </w:r>
                  <w:r>
                    <w:rPr>
                      <w:rFonts w:hint="eastAsia" w:ascii="Times New Roman" w:hAnsi="Times New Roman" w:eastAsia="宋体" w:cs="宋体"/>
                      <w:color w:val="auto"/>
                      <w:lang w:val="en-US" w:eastAsia="zh-CN"/>
                    </w:rPr>
                    <w:t>不属于落后产能项目，不属于过剩产能项目，不属于高能耗高排放项目。</w:t>
                  </w:r>
                </w:p>
              </w:tc>
              <w:tc>
                <w:tcPr>
                  <w:tcW w:w="623" w:type="pct"/>
                  <w:vAlign w:val="center"/>
                </w:tcPr>
                <w:p>
                  <w:pPr>
                    <w:pStyle w:val="69"/>
                    <w:bidi w:val="0"/>
                    <w:jc w:val="center"/>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符合</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83" w:type="pct"/>
                  <w:vAlign w:val="center"/>
                </w:tcPr>
                <w:p>
                  <w:pPr>
                    <w:pStyle w:val="69"/>
                    <w:bidi w:val="0"/>
                    <w:jc w:val="center"/>
                    <w:rPr>
                      <w:rFonts w:ascii="Times New Roman" w:hAnsi="Times New Roman" w:eastAsia="宋体" w:cs="宋体"/>
                      <w:color w:val="auto"/>
                    </w:rPr>
                  </w:pPr>
                  <w:r>
                    <w:rPr>
                      <w:rFonts w:hint="eastAsia" w:ascii="Times New Roman" w:hAnsi="Times New Roman" w:eastAsia="宋体" w:cs="宋体"/>
                      <w:color w:val="auto"/>
                    </w:rPr>
                    <w:t>12.法律法规及相关政策文件有更加严格规定的从其规定。</w:t>
                  </w:r>
                </w:p>
              </w:tc>
              <w:tc>
                <w:tcPr>
                  <w:tcW w:w="1592" w:type="pct"/>
                  <w:vAlign w:val="center"/>
                </w:tcPr>
                <w:p>
                  <w:pPr>
                    <w:pStyle w:val="69"/>
                    <w:bidi w:val="0"/>
                    <w:jc w:val="center"/>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w:t>
                  </w:r>
                </w:p>
              </w:tc>
              <w:tc>
                <w:tcPr>
                  <w:tcW w:w="623" w:type="pct"/>
                  <w:vAlign w:val="center"/>
                </w:tcPr>
                <w:p>
                  <w:pPr>
                    <w:pStyle w:val="69"/>
                    <w:bidi w:val="0"/>
                    <w:jc w:val="center"/>
                    <w:rPr>
                      <w:rFonts w:hint="eastAsia" w:ascii="Times New Roman" w:hAnsi="Times New Roman" w:eastAsia="宋体" w:cs="宋体"/>
                      <w:color w:val="auto"/>
                      <w:lang w:val="en-US" w:eastAsia="zh-CN"/>
                    </w:rPr>
                  </w:pPr>
                  <w:r>
                    <w:rPr>
                      <w:rFonts w:hint="eastAsia" w:ascii="Times New Roman" w:hAnsi="Times New Roman" w:eastAsia="宋体" w:cs="宋体"/>
                      <w:color w:val="auto"/>
                      <w:lang w:val="en-US" w:eastAsia="zh-CN"/>
                    </w:rPr>
                    <w:t>/</w:t>
                  </w:r>
                </w:p>
              </w:tc>
            </w:tr>
          </w:tbl>
          <w:p>
            <w:pPr>
              <w:pStyle w:val="70"/>
              <w:bidi w:val="0"/>
              <w:rPr>
                <w:rFonts w:ascii="Times New Roman" w:hAnsi="Times New Roman" w:eastAsia="宋体" w:cs="宋体"/>
                <w:color w:val="auto"/>
              </w:rPr>
            </w:pPr>
            <w:r>
              <w:rPr>
                <w:rFonts w:hint="eastAsia" w:ascii="Times New Roman" w:hAnsi="Times New Roman" w:eastAsia="宋体" w:cs="宋体"/>
                <w:color w:val="auto"/>
                <w:lang w:val="en-US" w:eastAsia="zh-CN"/>
              </w:rPr>
              <w:t>综上所述，</w:t>
            </w:r>
            <w:r>
              <w:rPr>
                <w:rFonts w:ascii="Times New Roman" w:hAnsi="Times New Roman" w:eastAsia="宋体" w:cs="宋体"/>
                <w:color w:val="auto"/>
              </w:rPr>
              <w:t>项目符合</w:t>
            </w:r>
            <w:r>
              <w:rPr>
                <w:rFonts w:ascii="Times New Roman" w:hAnsi="Times New Roman" w:eastAsia="宋体" w:cs="宋体"/>
                <w:color w:val="auto"/>
                <w:lang w:val="en-US" w:eastAsia="zh-CN"/>
              </w:rPr>
              <w:t>《江西省长江经济带发展负面清单实施细则（试行，</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年版）》（赣长江办〔</w:t>
            </w:r>
            <w:r>
              <w:rPr>
                <w:rFonts w:hint="default" w:ascii="Times New Roman" w:hAnsi="Times New Roman" w:eastAsia="宋体" w:cs="宋体"/>
                <w:color w:val="auto"/>
                <w:lang w:val="en-US" w:eastAsia="zh-CN"/>
              </w:rPr>
              <w:t>2022</w:t>
            </w:r>
            <w:r>
              <w:rPr>
                <w:rFonts w:ascii="Times New Roman" w:hAnsi="Times New Roman" w:eastAsia="宋体" w:cs="宋体"/>
                <w:color w:val="auto"/>
                <w:lang w:val="en-US" w:eastAsia="zh-CN"/>
              </w:rPr>
              <w:t>〕</w:t>
            </w:r>
            <w:r>
              <w:rPr>
                <w:rFonts w:hint="default" w:ascii="Times New Roman" w:hAnsi="Times New Roman" w:eastAsia="宋体" w:cs="宋体"/>
                <w:color w:val="auto"/>
                <w:lang w:val="en-US" w:eastAsia="zh-CN"/>
              </w:rPr>
              <w:t>7</w:t>
            </w:r>
            <w:r>
              <w:rPr>
                <w:rFonts w:ascii="Times New Roman" w:hAnsi="Times New Roman" w:eastAsia="宋体" w:cs="宋体"/>
                <w:color w:val="auto"/>
                <w:lang w:val="en-US" w:eastAsia="zh-CN"/>
              </w:rPr>
              <w:t>号）</w:t>
            </w:r>
            <w:r>
              <w:rPr>
                <w:rFonts w:ascii="Times New Roman" w:hAnsi="Times New Roman" w:eastAsia="宋体" w:cs="宋体"/>
                <w:color w:val="auto"/>
              </w:rPr>
              <w:t>中的要求。</w:t>
            </w:r>
          </w:p>
          <w:p>
            <w:pPr>
              <w:autoSpaceDE w:val="0"/>
              <w:autoSpaceDN w:val="0"/>
              <w:adjustRightInd w:val="0"/>
              <w:snapToGrid w:val="0"/>
              <w:spacing w:line="360" w:lineRule="auto"/>
              <w:ind w:firstLine="480" w:firstLineChars="200"/>
              <w:jc w:val="left"/>
              <w:rPr>
                <w:rFonts w:hint="default" w:ascii="Times New Roman" w:hAnsi="Times New Roman" w:eastAsia="宋体" w:cs="Times New Roman"/>
                <w:kern w:val="0"/>
                <w:sz w:val="24"/>
                <w:szCs w:val="24"/>
                <w:lang w:val="en-US" w:eastAsia="zh-CN"/>
              </w:rPr>
            </w:pPr>
          </w:p>
        </w:tc>
      </w:tr>
    </w:tbl>
    <w:p>
      <w:pPr>
        <w:spacing w:line="360" w:lineRule="auto"/>
        <w:outlineLvl w:val="9"/>
        <w:rPr>
          <w:rFonts w:eastAsia="黑体"/>
          <w:sz w:val="24"/>
          <w:szCs w:val="24"/>
        </w:rPr>
        <w:sectPr>
          <w:footerReference r:id="rId5" w:type="default"/>
          <w:pgSz w:w="11906" w:h="16838"/>
          <w:pgMar w:top="1134" w:right="1134" w:bottom="1134" w:left="1134"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4"/>
        <w:jc w:val="center"/>
        <w:outlineLvl w:val="0"/>
        <w:rPr>
          <w:rFonts w:ascii="黑体" w:hAnsi="黑体" w:eastAsia="黑体"/>
          <w:snapToGrid w:val="0"/>
          <w:sz w:val="30"/>
          <w:szCs w:val="30"/>
        </w:rPr>
      </w:pPr>
      <w:bookmarkStart w:id="13" w:name="_Toc31554"/>
      <w:bookmarkStart w:id="14" w:name="_Toc17627"/>
      <w:r>
        <w:rPr>
          <w:rFonts w:hint="eastAsia" w:ascii="黑体" w:hAnsi="黑体" w:eastAsia="黑体"/>
          <w:snapToGrid w:val="0"/>
          <w:sz w:val="30"/>
          <w:szCs w:val="30"/>
        </w:rPr>
        <w:t>二、建设项目工程分析</w:t>
      </w:r>
      <w:bookmarkEnd w:id="13"/>
      <w:bookmarkEnd w:id="14"/>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7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noWrap w:val="0"/>
            <w:vAlign w:val="center"/>
          </w:tcPr>
          <w:p>
            <w:pPr>
              <w:pStyle w:val="24"/>
              <w:adjustRightInd w:val="0"/>
              <w:snapToGrid w:val="0"/>
              <w:spacing w:before="0" w:beforeAutospacing="0" w:after="0" w:afterAutospacing="0"/>
              <w:jc w:val="center"/>
              <w:rPr>
                <w:rFonts w:cs="宋体"/>
                <w:sz w:val="21"/>
                <w:szCs w:val="21"/>
              </w:rPr>
            </w:pPr>
            <w:r>
              <w:rPr>
                <w:rFonts w:hint="eastAsia" w:cs="宋体"/>
                <w:sz w:val="24"/>
                <w:szCs w:val="24"/>
              </w:rPr>
              <w:t>建设内容</w:t>
            </w:r>
          </w:p>
        </w:tc>
        <w:tc>
          <w:tcPr>
            <w:tcW w:w="7935" w:type="dxa"/>
            <w:noWrap w:val="0"/>
            <w:vAlign w:val="top"/>
          </w:tcPr>
          <w:p>
            <w:pPr>
              <w:keepNext w:val="0"/>
              <w:keepLines w:val="0"/>
              <w:suppressLineNumbers w:val="0"/>
              <w:spacing w:before="0" w:beforeAutospacing="0" w:after="0" w:afterAutospacing="0" w:line="360" w:lineRule="auto"/>
              <w:ind w:left="0" w:right="0" w:firstLine="482"/>
              <w:rPr>
                <w:rFonts w:hint="eastAsia" w:ascii="宋体" w:hAnsi="宋体" w:cs="宋体"/>
                <w:bCs/>
                <w:sz w:val="24"/>
                <w:szCs w:val="24"/>
                <w:lang w:val="en-US" w:eastAsia="zh-CN"/>
              </w:rPr>
            </w:pPr>
            <w:r>
              <w:rPr>
                <w:rFonts w:hint="eastAsia" w:cs="Times New Roman"/>
                <w:b/>
                <w:bCs/>
                <w:color w:val="000000"/>
                <w:sz w:val="24"/>
                <w:szCs w:val="24"/>
                <w:lang w:val="en-US" w:eastAsia="zh-CN"/>
              </w:rPr>
              <w:t>1、</w:t>
            </w:r>
            <w:r>
              <w:rPr>
                <w:rFonts w:hint="default" w:ascii="Times New Roman" w:hAnsi="Times New Roman" w:cs="Times New Roman"/>
                <w:b/>
                <w:bCs/>
                <w:color w:val="000000"/>
                <w:sz w:val="24"/>
                <w:szCs w:val="24"/>
              </w:rPr>
              <w:t>建设内容</w:t>
            </w:r>
          </w:p>
          <w:p>
            <w:pPr>
              <w:spacing w:line="360" w:lineRule="auto"/>
              <w:ind w:firstLine="480" w:firstLineChars="200"/>
              <w:rPr>
                <w:rFonts w:ascii="Times New Roman" w:hAnsi="Times New Roman"/>
                <w:color w:val="FF0000"/>
                <w:sz w:val="24"/>
              </w:rPr>
            </w:pPr>
            <w:r>
              <w:rPr>
                <w:rFonts w:ascii="Times New Roman" w:hAnsi="Times New Roman"/>
                <w:color w:val="auto"/>
                <w:sz w:val="24"/>
              </w:rPr>
              <w:t>项目位于</w:t>
            </w:r>
            <w:r>
              <w:rPr>
                <w:rFonts w:hint="eastAsia" w:ascii="Times New Roman" w:hAnsi="Times New Roman"/>
                <w:color w:val="auto"/>
                <w:sz w:val="24"/>
              </w:rPr>
              <w:t>江西省上饶经济技术开发区兴业大道21号A栋</w:t>
            </w:r>
            <w:r>
              <w:rPr>
                <w:rFonts w:ascii="Times New Roman" w:hAnsi="Times New Roman"/>
                <w:color w:val="auto"/>
                <w:sz w:val="24"/>
              </w:rPr>
              <w:t>。地理坐标为东经</w:t>
            </w:r>
            <w:r>
              <w:rPr>
                <w:rFonts w:hint="eastAsia" w:ascii="Times New Roman" w:hAnsi="Times New Roman"/>
                <w:color w:val="auto"/>
                <w:sz w:val="24"/>
              </w:rPr>
              <w:t>117</w:t>
            </w:r>
            <w:r>
              <w:rPr>
                <w:rFonts w:ascii="Times New Roman" w:hAnsi="Times New Roman"/>
                <w:color w:val="auto"/>
                <w:sz w:val="24"/>
              </w:rPr>
              <w:t>°</w:t>
            </w:r>
            <w:r>
              <w:rPr>
                <w:rFonts w:hint="eastAsia" w:ascii="Times New Roman" w:hAnsi="Times New Roman"/>
                <w:color w:val="auto"/>
                <w:sz w:val="24"/>
              </w:rPr>
              <w:t>52'36.415"</w:t>
            </w:r>
            <w:r>
              <w:rPr>
                <w:rFonts w:ascii="Times New Roman" w:hAnsi="Times New Roman"/>
                <w:color w:val="auto"/>
                <w:sz w:val="24"/>
              </w:rPr>
              <w:t>，北纬</w:t>
            </w:r>
            <w:r>
              <w:rPr>
                <w:rFonts w:hint="eastAsia" w:ascii="Times New Roman" w:hAnsi="Times New Roman"/>
                <w:color w:val="auto"/>
                <w:sz w:val="24"/>
              </w:rPr>
              <w:t>28</w:t>
            </w:r>
            <w:r>
              <w:rPr>
                <w:rFonts w:ascii="Times New Roman" w:hAnsi="Times New Roman"/>
                <w:color w:val="auto"/>
                <w:sz w:val="24"/>
              </w:rPr>
              <w:t>°</w:t>
            </w:r>
            <w:r>
              <w:rPr>
                <w:rFonts w:hint="eastAsia" w:ascii="Times New Roman" w:hAnsi="Times New Roman"/>
                <w:color w:val="auto"/>
                <w:sz w:val="24"/>
              </w:rPr>
              <w:t>24'50.242"</w:t>
            </w:r>
            <w:r>
              <w:rPr>
                <w:rFonts w:ascii="Times New Roman" w:hAnsi="Times New Roman"/>
                <w:color w:val="auto"/>
                <w:sz w:val="24"/>
              </w:rPr>
              <w:t>，</w:t>
            </w:r>
            <w:r>
              <w:rPr>
                <w:rFonts w:ascii="Times New Roman" w:hAnsi="Times New Roman"/>
                <w:sz w:val="24"/>
              </w:rPr>
              <w:t>具体地理位置详见附图</w:t>
            </w:r>
            <w:r>
              <w:rPr>
                <w:rFonts w:hint="eastAsia"/>
                <w:sz w:val="24"/>
                <w:lang w:val="en-US" w:eastAsia="zh-CN"/>
              </w:rPr>
              <w:t>一</w:t>
            </w:r>
            <w:r>
              <w:rPr>
                <w:rFonts w:ascii="Times New Roman" w:hAnsi="Times New Roman"/>
                <w:sz w:val="24"/>
              </w:rPr>
              <w:t>。</w:t>
            </w:r>
            <w:r>
              <w:rPr>
                <w:rFonts w:ascii="Times New Roman" w:hAnsi="Times New Roman"/>
                <w:color w:val="auto"/>
                <w:sz w:val="24"/>
              </w:rPr>
              <w:t>项目最近敏感点是项目</w:t>
            </w:r>
            <w:r>
              <w:rPr>
                <w:rFonts w:hint="eastAsia"/>
                <w:color w:val="auto"/>
                <w:sz w:val="24"/>
                <w:lang w:val="en-US" w:eastAsia="zh-CN"/>
              </w:rPr>
              <w:t>西南侧</w:t>
            </w:r>
            <w:r>
              <w:rPr>
                <w:rFonts w:ascii="Times New Roman" w:hAnsi="Times New Roman"/>
                <w:color w:val="auto"/>
                <w:sz w:val="24"/>
              </w:rPr>
              <w:t>距厂界</w:t>
            </w:r>
            <w:r>
              <w:rPr>
                <w:rFonts w:hint="eastAsia"/>
                <w:color w:val="auto"/>
                <w:sz w:val="24"/>
                <w:lang w:val="en-US" w:eastAsia="zh-CN"/>
              </w:rPr>
              <w:t>350</w:t>
            </w:r>
            <w:r>
              <w:rPr>
                <w:rFonts w:ascii="Times New Roman" w:hAnsi="Times New Roman"/>
                <w:color w:val="auto"/>
                <w:sz w:val="24"/>
              </w:rPr>
              <w:t>m处的</w:t>
            </w:r>
            <w:r>
              <w:rPr>
                <w:rFonts w:hint="eastAsia"/>
                <w:color w:val="auto"/>
                <w:sz w:val="24"/>
                <w:lang w:val="en-US" w:eastAsia="zh-CN"/>
              </w:rPr>
              <w:t>合口大坝鱼庄</w:t>
            </w:r>
            <w:r>
              <w:rPr>
                <w:rFonts w:ascii="Times New Roman" w:hAnsi="Times New Roman"/>
                <w:color w:val="auto"/>
                <w:sz w:val="24"/>
              </w:rPr>
              <w:t>，周边无自然保护区、风景名胜区、水源保护地等环境敏感点。场地现状照片如下所示。</w:t>
            </w:r>
          </w:p>
          <w:p>
            <w:pPr>
              <w:spacing w:line="360" w:lineRule="auto"/>
              <w:rPr>
                <w:rFonts w:hint="eastAsia" w:ascii="Times New Roman" w:hAnsi="Times New Roman" w:eastAsia="宋体"/>
                <w:sz w:val="24"/>
                <w:lang w:eastAsia="zh-CN"/>
              </w:rPr>
            </w:pPr>
            <w:r>
              <w:rPr>
                <w:rFonts w:hint="eastAsia" w:ascii="Times New Roman" w:hAnsi="Times New Roman" w:eastAsia="宋体"/>
                <w:sz w:val="24"/>
                <w:lang w:eastAsia="zh-CN"/>
              </w:rPr>
              <w:drawing>
                <wp:inline distT="0" distB="0" distL="114300" distR="114300">
                  <wp:extent cx="2368550" cy="1776095"/>
                  <wp:effectExtent l="0" t="0" r="12700" b="14605"/>
                  <wp:docPr id="1" name="图片 1" descr="502596f2cf56e3fd0d3466119a9a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2596f2cf56e3fd0d3466119a9a483"/>
                          <pic:cNvPicPr>
                            <a:picLocks noChangeAspect="1"/>
                          </pic:cNvPicPr>
                        </pic:nvPicPr>
                        <pic:blipFill>
                          <a:blip r:embed="rId8"/>
                          <a:stretch>
                            <a:fillRect/>
                          </a:stretch>
                        </pic:blipFill>
                        <pic:spPr>
                          <a:xfrm>
                            <a:off x="0" y="0"/>
                            <a:ext cx="2368550" cy="1776095"/>
                          </a:xfrm>
                          <a:prstGeom prst="rect">
                            <a:avLst/>
                          </a:prstGeom>
                        </pic:spPr>
                      </pic:pic>
                    </a:graphicData>
                  </a:graphic>
                </wp:inline>
              </w:drawing>
            </w:r>
            <w:r>
              <w:rPr>
                <w:rFonts w:hint="eastAsia" w:ascii="Times New Roman" w:hAnsi="Times New Roman" w:eastAsia="宋体"/>
                <w:sz w:val="24"/>
                <w:lang w:val="en-US" w:eastAsia="zh-CN"/>
              </w:rPr>
              <w:t xml:space="preserve"> </w:t>
            </w:r>
            <w:r>
              <w:rPr>
                <w:rFonts w:hint="eastAsia" w:ascii="Times New Roman" w:hAnsi="Times New Roman" w:eastAsia="宋体"/>
                <w:sz w:val="24"/>
                <w:lang w:eastAsia="zh-CN"/>
              </w:rPr>
              <w:drawing>
                <wp:inline distT="0" distB="0" distL="114300" distR="114300">
                  <wp:extent cx="2375535" cy="1781810"/>
                  <wp:effectExtent l="0" t="0" r="5715" b="8890"/>
                  <wp:docPr id="4" name="图片 4" descr="f7f38bfcffd46d55b35426ea9d9f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7f38bfcffd46d55b35426ea9d9fe67"/>
                          <pic:cNvPicPr>
                            <a:picLocks noChangeAspect="1"/>
                          </pic:cNvPicPr>
                        </pic:nvPicPr>
                        <pic:blipFill>
                          <a:blip r:embed="rId9"/>
                          <a:stretch>
                            <a:fillRect/>
                          </a:stretch>
                        </pic:blipFill>
                        <pic:spPr>
                          <a:xfrm>
                            <a:off x="0" y="0"/>
                            <a:ext cx="2375535" cy="1781810"/>
                          </a:xfrm>
                          <a:prstGeom prst="rect">
                            <a:avLst/>
                          </a:prstGeom>
                        </pic:spPr>
                      </pic:pic>
                    </a:graphicData>
                  </a:graphic>
                </wp:inline>
              </w:drawing>
            </w:r>
          </w:p>
          <w:p>
            <w:pPr>
              <w:adjustRightInd w:val="0"/>
              <w:snapToGrid w:val="0"/>
              <w:spacing w:line="360" w:lineRule="auto"/>
              <w:ind w:firstLine="422" w:firstLineChars="200"/>
              <w:jc w:val="center"/>
              <w:rPr>
                <w:rFonts w:ascii="Times New Roman" w:hAnsi="Times New Roman"/>
                <w:b/>
                <w:bCs/>
                <w:sz w:val="21"/>
                <w:szCs w:val="21"/>
              </w:rPr>
            </w:pPr>
            <w:r>
              <w:rPr>
                <w:rFonts w:hint="eastAsia"/>
                <w:b/>
                <w:bCs/>
                <w:sz w:val="21"/>
                <w:szCs w:val="21"/>
                <w:lang w:val="en-US" w:eastAsia="zh-CN"/>
              </w:rPr>
              <w:t>图2-1</w:t>
            </w:r>
            <w:r>
              <w:rPr>
                <w:rFonts w:ascii="Times New Roman" w:hAnsi="Times New Roman"/>
                <w:b/>
                <w:bCs/>
                <w:sz w:val="21"/>
                <w:szCs w:val="21"/>
              </w:rPr>
              <w:t>项目场地现状图</w:t>
            </w:r>
          </w:p>
          <w:p>
            <w:pPr>
              <w:adjustRightInd w:val="0"/>
              <w:snapToGrid w:val="0"/>
              <w:spacing w:line="360" w:lineRule="auto"/>
              <w:ind w:firstLine="480" w:firstLineChars="200"/>
              <w:jc w:val="left"/>
              <w:rPr>
                <w:rFonts w:hint="default" w:ascii="Times New Roman" w:hAnsi="Times New Roman" w:cs="Times New Roman"/>
                <w:bCs/>
                <w:color w:val="auto"/>
                <w:sz w:val="24"/>
                <w:szCs w:val="24"/>
              </w:rPr>
            </w:pPr>
            <w:r>
              <w:rPr>
                <w:rFonts w:hint="eastAsia"/>
                <w:color w:val="auto"/>
                <w:sz w:val="24"/>
                <w:szCs w:val="24"/>
              </w:rPr>
              <w:t>项目总建筑面积约5000平方米，总用地面积约5000平方米。主要生产XR光学模组</w:t>
            </w:r>
            <w:r>
              <w:rPr>
                <w:rFonts w:hint="eastAsia"/>
                <w:color w:val="auto"/>
                <w:sz w:val="24"/>
                <w:szCs w:val="24"/>
                <w:lang w:val="en-US" w:eastAsia="zh-CN"/>
              </w:rPr>
              <w:t>和</w:t>
            </w:r>
            <w:r>
              <w:rPr>
                <w:rFonts w:hint="eastAsia"/>
                <w:color w:val="auto"/>
                <w:sz w:val="24"/>
                <w:szCs w:val="24"/>
              </w:rPr>
              <w:t>远像光屏核心组件，项目建成后，年产10万套XR光学模组和3万台远像光屏核心组件。</w:t>
            </w:r>
            <w:r>
              <w:rPr>
                <w:rFonts w:hint="default" w:ascii="Times New Roman" w:hAnsi="Times New Roman" w:cs="Times New Roman"/>
                <w:bCs/>
                <w:color w:val="auto"/>
                <w:sz w:val="24"/>
                <w:szCs w:val="24"/>
              </w:rPr>
              <w:t>建设项目工程组成见</w:t>
            </w:r>
            <w:r>
              <w:rPr>
                <w:rFonts w:hint="default" w:ascii="Times New Roman" w:hAnsi="Times New Roman" w:cs="Times New Roman"/>
                <w:bCs/>
                <w:color w:val="auto"/>
                <w:sz w:val="24"/>
                <w:szCs w:val="24"/>
                <w:lang w:eastAsia="zh-CN"/>
              </w:rPr>
              <w:t>下</w:t>
            </w:r>
            <w:r>
              <w:rPr>
                <w:rFonts w:hint="default" w:ascii="Times New Roman" w:hAnsi="Times New Roman" w:cs="Times New Roman"/>
                <w:bCs/>
                <w:color w:val="auto"/>
                <w:sz w:val="24"/>
                <w:szCs w:val="24"/>
              </w:rPr>
              <w:t>表。</w:t>
            </w:r>
          </w:p>
          <w:p>
            <w:pPr>
              <w:pStyle w:val="38"/>
              <w:tabs>
                <w:tab w:val="clear" w:pos="0"/>
              </w:tabs>
              <w:spacing w:before="0" w:beforeLines="0"/>
              <w:ind w:left="0" w:leftChars="0"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cs="Times New Roman"/>
                <w:b/>
                <w:bCs/>
                <w:color w:val="auto"/>
                <w:sz w:val="21"/>
                <w:szCs w:val="21"/>
              </w:rPr>
              <w:t>表</w:t>
            </w:r>
            <w:r>
              <w:rPr>
                <w:rFonts w:hint="eastAsia" w:ascii="Times New Roman" w:hAnsi="Times New Roman" w:cs="Times New Roman"/>
                <w:b/>
                <w:bCs/>
                <w:color w:val="auto"/>
                <w:sz w:val="21"/>
                <w:szCs w:val="21"/>
                <w:lang w:val="en-US" w:eastAsia="zh-CN"/>
              </w:rPr>
              <w:t>2-1</w:t>
            </w:r>
            <w:r>
              <w:rPr>
                <w:rFonts w:hint="default" w:ascii="Times New Roman" w:hAnsi="Times New Roman" w:cs="Times New Roman"/>
                <w:b/>
                <w:bCs/>
                <w:color w:val="auto"/>
                <w:sz w:val="21"/>
                <w:szCs w:val="21"/>
              </w:rPr>
              <w:t xml:space="preserve"> </w:t>
            </w:r>
            <w:r>
              <w:rPr>
                <w:rFonts w:hint="default" w:ascii="Times New Roman" w:hAnsi="Times New Roman" w:eastAsia="宋体" w:cs="Times New Roman"/>
                <w:b/>
                <w:bCs/>
                <w:color w:val="auto"/>
                <w:kern w:val="0"/>
                <w:sz w:val="21"/>
                <w:szCs w:val="21"/>
              </w:rPr>
              <w:t>项目工程组成一览表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426"/>
              <w:gridCol w:w="1522"/>
              <w:gridCol w:w="3924"/>
              <w:gridCol w:w="12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bookmarkStart w:id="15" w:name="OLE_LINK15"/>
                  <w:r>
                    <w:rPr>
                      <w:rFonts w:ascii="Times New Roman" w:hAnsi="Times New Roman"/>
                      <w:b/>
                      <w:bCs/>
                      <w:szCs w:val="21"/>
                    </w:rPr>
                    <w:t>工程类别</w:t>
                  </w:r>
                </w:p>
              </w:tc>
              <w:tc>
                <w:tcPr>
                  <w:tcW w:w="1262" w:type="pct"/>
                  <w:gridSpan w:val="2"/>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ascii="Times New Roman" w:hAnsi="Times New Roman"/>
                      <w:b/>
                      <w:bCs/>
                      <w:szCs w:val="21"/>
                    </w:rPr>
                    <w:t>单项工程</w:t>
                  </w:r>
                </w:p>
              </w:tc>
              <w:tc>
                <w:tcPr>
                  <w:tcW w:w="2542" w:type="pct"/>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ascii="Times New Roman" w:hAnsi="Times New Roman"/>
                      <w:b/>
                      <w:bCs/>
                      <w:szCs w:val="21"/>
                    </w:rPr>
                    <w:t>工程内容及规模</w:t>
                  </w:r>
                </w:p>
              </w:tc>
              <w:tc>
                <w:tcPr>
                  <w:tcW w:w="779" w:type="pct"/>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ascii="Times New Roman" w:hAnsi="Times New Roman"/>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主体工程</w:t>
                  </w:r>
                </w:p>
              </w:tc>
              <w:tc>
                <w:tcPr>
                  <w:tcW w:w="1262" w:type="pct"/>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生产车间</w:t>
                  </w:r>
                </w:p>
              </w:tc>
              <w:tc>
                <w:tcPr>
                  <w:tcW w:w="2542" w:type="pct"/>
                  <w:tcBorders>
                    <w:top w:val="single" w:color="auto" w:sz="4" w:space="0"/>
                  </w:tcBorders>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租赁裸眼3D厂房A栋2F及1F部分区域，其中1F超洗机区域面积约66m</w:t>
                  </w:r>
                  <w:r>
                    <w:rPr>
                      <w:rFonts w:hint="eastAsia"/>
                      <w:bCs/>
                      <w:szCs w:val="21"/>
                      <w:vertAlign w:val="superscript"/>
                      <w:lang w:val="en-US" w:eastAsia="zh-CN"/>
                    </w:rPr>
                    <w:t>2</w:t>
                  </w:r>
                  <w:r>
                    <w:rPr>
                      <w:rFonts w:hint="eastAsia"/>
                      <w:bCs/>
                      <w:szCs w:val="21"/>
                      <w:lang w:val="en-US" w:eastAsia="zh-CN"/>
                    </w:rPr>
                    <w:t>，2F生产区域约占2726.78m</w:t>
                  </w:r>
                  <w:r>
                    <w:rPr>
                      <w:rFonts w:hint="eastAsia"/>
                      <w:bCs/>
                      <w:szCs w:val="21"/>
                      <w:vertAlign w:val="superscript"/>
                      <w:lang w:val="en-US" w:eastAsia="zh-CN"/>
                    </w:rPr>
                    <w:t>2</w:t>
                  </w:r>
                  <w:r>
                    <w:rPr>
                      <w:rFonts w:hint="eastAsia"/>
                      <w:bCs/>
                      <w:szCs w:val="21"/>
                      <w:lang w:val="en-US" w:eastAsia="zh-CN"/>
                    </w:rPr>
                    <w:t>，主要为拆内包装区、拆外包箱区、检验室（主要用于人工检测加工后的模组或组件是否存在脏污，是否装配完全，保证产品合格）等</w:t>
                  </w:r>
                </w:p>
              </w:tc>
              <w:tc>
                <w:tcPr>
                  <w:tcW w:w="779" w:type="pct"/>
                  <w:tcBorders>
                    <w:top w:val="single" w:color="auto" w:sz="4" w:space="0"/>
                  </w:tcBorders>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r>
                    <w:rPr>
                      <w:rFonts w:ascii="Times New Roman" w:hAnsi="Times New Roman"/>
                      <w:szCs w:val="21"/>
                    </w:rPr>
                    <w:t>辅助工程</w:t>
                  </w: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办公</w:t>
                  </w:r>
                  <w:r>
                    <w:rPr>
                      <w:rFonts w:hint="eastAsia"/>
                      <w:bCs/>
                      <w:szCs w:val="21"/>
                      <w:lang w:val="en-US" w:eastAsia="zh-CN"/>
                    </w:rPr>
                    <w:t>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1F办公区面积约为545.11m</w:t>
                  </w:r>
                  <w:r>
                    <w:rPr>
                      <w:rFonts w:hint="eastAsia"/>
                      <w:bCs/>
                      <w:szCs w:val="21"/>
                      <w:vertAlign w:val="superscript"/>
                      <w:lang w:val="en-US" w:eastAsia="zh-CN"/>
                    </w:rPr>
                    <w:t>2</w:t>
                  </w:r>
                  <w:r>
                    <w:rPr>
                      <w:rFonts w:hint="eastAsia"/>
                      <w:bCs/>
                      <w:szCs w:val="21"/>
                      <w:vertAlign w:val="baseline"/>
                      <w:lang w:val="en-US" w:eastAsia="zh-CN"/>
                    </w:rPr>
                    <w:t>，2F生产办公区面积61m</w:t>
                  </w:r>
                  <w:r>
                    <w:rPr>
                      <w:rFonts w:hint="eastAsia"/>
                      <w:bCs/>
                      <w:szCs w:val="21"/>
                      <w:vertAlign w:val="superscript"/>
                      <w:lang w:val="en-US" w:eastAsia="zh-CN"/>
                    </w:rPr>
                    <w:t>2</w:t>
                  </w:r>
                  <w:r>
                    <w:rPr>
                      <w:rFonts w:hint="eastAsia"/>
                      <w:bCs/>
                      <w:szCs w:val="21"/>
                      <w:vertAlign w:val="baseline"/>
                      <w:lang w:val="en-US" w:eastAsia="zh-CN"/>
                    </w:rPr>
                    <w:t>，会议室面积100m</w:t>
                  </w:r>
                  <w:r>
                    <w:rPr>
                      <w:rFonts w:hint="eastAsia"/>
                      <w:bCs/>
                      <w:szCs w:val="21"/>
                      <w:vertAlign w:val="superscript"/>
                      <w:lang w:val="en-US" w:eastAsia="zh-CN"/>
                    </w:rPr>
                    <w:t>2</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食堂</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vertAlign w:val="baseline"/>
                      <w:lang w:val="en-US" w:eastAsia="zh-CN"/>
                    </w:rPr>
                    <w:t>食堂面积为318m</w:t>
                  </w:r>
                  <w:r>
                    <w:rPr>
                      <w:rFonts w:hint="eastAsia"/>
                      <w:bCs/>
                      <w:szCs w:val="21"/>
                      <w:vertAlign w:val="superscript"/>
                      <w:lang w:val="en-US" w:eastAsia="zh-CN"/>
                    </w:rPr>
                    <w:t>2</w:t>
                  </w:r>
                  <w:r>
                    <w:rPr>
                      <w:rFonts w:hint="eastAsia"/>
                      <w:bCs/>
                      <w:szCs w:val="21"/>
                      <w:vertAlign w:val="baseline"/>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r>
                    <w:rPr>
                      <w:rFonts w:ascii="Times New Roman" w:hAnsi="Times New Roman"/>
                      <w:szCs w:val="21"/>
                    </w:rPr>
                    <w:t>储运工程</w:t>
                  </w: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电子仓</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val="0"/>
                      <w:szCs w:val="21"/>
                      <w:lang w:val="en-US" w:eastAsia="zh-CN"/>
                    </w:rPr>
                  </w:pPr>
                  <w:r>
                    <w:rPr>
                      <w:rFonts w:hint="eastAsia"/>
                      <w:b w:val="0"/>
                      <w:bCs w:val="0"/>
                      <w:szCs w:val="21"/>
                      <w:lang w:val="en-US" w:eastAsia="zh-CN"/>
                    </w:rPr>
                    <w:t>面积约为100m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成品物料区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 w:val="0"/>
                      <w:bCs w:val="0"/>
                      <w:szCs w:val="21"/>
                      <w:lang w:val="en-US" w:eastAsia="zh-CN"/>
                    </w:rPr>
                  </w:pPr>
                  <w:r>
                    <w:rPr>
                      <w:rFonts w:hint="eastAsia"/>
                      <w:b w:val="0"/>
                      <w:bCs w:val="0"/>
                      <w:szCs w:val="21"/>
                      <w:lang w:val="en-US" w:eastAsia="zh-CN"/>
                    </w:rPr>
                    <w:t>面积约为276m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包材及壳料物料区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 w:val="0"/>
                      <w:bCs w:val="0"/>
                      <w:szCs w:val="21"/>
                      <w:lang w:val="en-US" w:eastAsia="zh-CN"/>
                    </w:rPr>
                  </w:pPr>
                  <w:r>
                    <w:rPr>
                      <w:rFonts w:hint="eastAsia"/>
                      <w:b w:val="0"/>
                      <w:bCs w:val="0"/>
                      <w:szCs w:val="21"/>
                      <w:lang w:val="en-US" w:eastAsia="zh-CN"/>
                    </w:rPr>
                    <w:t>面积约为314m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镜片物料区</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 w:val="0"/>
                      <w:bCs w:val="0"/>
                      <w:szCs w:val="21"/>
                      <w:lang w:val="en-US" w:eastAsia="zh-CN"/>
                    </w:rPr>
                  </w:pPr>
                  <w:r>
                    <w:rPr>
                      <w:rFonts w:hint="eastAsia"/>
                      <w:b w:val="0"/>
                      <w:bCs w:val="0"/>
                      <w:szCs w:val="21"/>
                      <w:lang w:val="en-US" w:eastAsia="zh-CN"/>
                    </w:rPr>
                    <w:t>面积约为216m</w:t>
                  </w:r>
                  <w:r>
                    <w:rPr>
                      <w:rFonts w:hint="eastAsia"/>
                      <w:b w:val="0"/>
                      <w:bCs w:val="0"/>
                      <w:szCs w:val="21"/>
                      <w:vertAlign w:val="superscript"/>
                      <w:lang w:val="en-US" w:eastAsia="zh-CN"/>
                    </w:rPr>
                    <w:t>2</w:t>
                  </w:r>
                  <w:r>
                    <w:rPr>
                      <w:rFonts w:hint="eastAsia"/>
                      <w:b w:val="0"/>
                      <w:bCs w:val="0"/>
                      <w:szCs w:val="21"/>
                      <w:lang w:val="en-US" w:eastAsia="zh-CN"/>
                    </w:rPr>
                    <w:t>，位于2F</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bCs/>
                      <w:szCs w:val="21"/>
                      <w:lang w:val="en-US" w:eastAsia="zh-CN"/>
                    </w:rPr>
                  </w:pPr>
                  <w:r>
                    <w:rPr>
                      <w:rFonts w:hint="eastAsia"/>
                      <w:bCs/>
                      <w:szCs w:val="21"/>
                      <w:lang w:val="en-US" w:eastAsia="zh-CN"/>
                    </w:rPr>
                    <w:t>租赁已建</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bCs/>
                      <w:szCs w:val="21"/>
                      <w:lang w:eastAsia="zh-CN"/>
                    </w:rPr>
                  </w:pPr>
                  <w:r>
                    <w:rPr>
                      <w:rFonts w:hint="eastAsia"/>
                      <w:bCs/>
                      <w:szCs w:val="21"/>
                      <w:lang w:val="en-US" w:eastAsia="zh-CN"/>
                    </w:rPr>
                    <w:t>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r>
                    <w:rPr>
                      <w:rFonts w:ascii="Times New Roman" w:hAnsi="Times New Roman"/>
                      <w:szCs w:val="21"/>
                    </w:rPr>
                    <w:t>辅助工程</w:t>
                  </w: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给水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hint="default" w:ascii="Times New Roman" w:hAnsi="Times New Roman" w:cs="Times New Roman"/>
                      <w:color w:val="auto"/>
                      <w:sz w:val="21"/>
                      <w:szCs w:val="21"/>
                    </w:rPr>
                    <w:t>由市政管网提供</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Cs w:val="21"/>
                      <w:lang w:val="en-US" w:eastAsia="zh-CN"/>
                    </w:rPr>
                  </w:pPr>
                  <w:r>
                    <w:rPr>
                      <w:rFonts w:hint="eastAsia"/>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排水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eastAsia="zh-CN"/>
                    </w:rPr>
                  </w:pPr>
                  <w:r>
                    <w:rPr>
                      <w:rFonts w:hint="default" w:ascii="Times New Roman" w:hAnsi="Times New Roman" w:eastAsia="宋体" w:cs="Times New Roman"/>
                      <w:color w:val="auto"/>
                      <w:sz w:val="21"/>
                      <w:szCs w:val="21"/>
                      <w:lang w:val="en-US" w:eastAsia="zh-CN"/>
                    </w:rPr>
                    <w:t>雨污分流。雨水经雨水管网排入厂区外，</w:t>
                  </w:r>
                  <w:r>
                    <w:rPr>
                      <w:rFonts w:hint="eastAsia" w:cs="Times New Roman"/>
                      <w:color w:val="auto"/>
                      <w:sz w:val="21"/>
                      <w:szCs w:val="21"/>
                      <w:lang w:val="en-US" w:eastAsia="zh-CN"/>
                    </w:rPr>
                    <w:t>综合废水</w:t>
                  </w:r>
                  <w:r>
                    <w:rPr>
                      <w:rFonts w:hint="default" w:ascii="Times New Roman" w:hAnsi="Times New Roman" w:eastAsia="宋体" w:cs="Times New Roman"/>
                      <w:color w:val="auto"/>
                      <w:sz w:val="21"/>
                      <w:szCs w:val="21"/>
                      <w:lang w:val="en-US" w:eastAsia="zh-CN"/>
                    </w:rPr>
                    <w:t>经</w:t>
                  </w:r>
                  <w:r>
                    <w:rPr>
                      <w:rFonts w:hint="eastAsia" w:cs="Times New Roman"/>
                      <w:color w:val="auto"/>
                      <w:sz w:val="21"/>
                      <w:szCs w:val="21"/>
                      <w:lang w:val="en-US" w:eastAsia="zh-CN"/>
                    </w:rPr>
                    <w:t>地埋式污水处理设施</w:t>
                  </w:r>
                  <w:r>
                    <w:rPr>
                      <w:rFonts w:hint="default" w:ascii="Times New Roman" w:hAnsi="Times New Roman" w:eastAsia="宋体" w:cs="Times New Roman"/>
                      <w:color w:val="auto"/>
                      <w:sz w:val="21"/>
                      <w:szCs w:val="21"/>
                      <w:lang w:val="en-US" w:eastAsia="zh-CN"/>
                    </w:rPr>
                    <w:t>预处理后经污水管网排入上饶经济技术开发区污水处理厂处理</w:t>
                  </w:r>
                  <w:r>
                    <w:rPr>
                      <w:rFonts w:hint="eastAsia" w:cs="Times New Roman"/>
                      <w:color w:val="auto"/>
                      <w:sz w:val="21"/>
                      <w:szCs w:val="21"/>
                      <w:lang w:val="en-US" w:eastAsia="zh-CN"/>
                    </w:rPr>
                    <w:t>；纯水制备浓水经园区污水管网外排至市政污水管网</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bCs/>
                      <w:szCs w:val="21"/>
                      <w:lang w:val="en-US" w:eastAsia="zh-CN"/>
                    </w:rPr>
                  </w:pPr>
                  <w:r>
                    <w:rPr>
                      <w:rFonts w:hint="eastAsia"/>
                      <w:bCs/>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供电</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
                      <w:bCs/>
                      <w:szCs w:val="21"/>
                    </w:rPr>
                  </w:pPr>
                  <w:r>
                    <w:rPr>
                      <w:rFonts w:hint="default" w:ascii="Times New Roman" w:hAnsi="Times New Roman" w:cs="Times New Roman"/>
                      <w:color w:val="auto"/>
                      <w:sz w:val="21"/>
                      <w:szCs w:val="21"/>
                      <w:lang w:eastAsia="zh-CN"/>
                    </w:rPr>
                    <w:t>由市政电网供给</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Cs w:val="21"/>
                      <w:lang w:eastAsia="zh-CN"/>
                    </w:rPr>
                  </w:pPr>
                  <w:r>
                    <w:rPr>
                      <w:rFonts w:hint="eastAsia"/>
                      <w:bCs/>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环保工程</w:t>
                  </w:r>
                </w:p>
              </w:tc>
              <w:tc>
                <w:tcPr>
                  <w:tcW w:w="27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废气</w:t>
                  </w: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点胶废气</w:t>
                  </w:r>
                </w:p>
              </w:tc>
              <w:tc>
                <w:tcPr>
                  <w:tcW w:w="2542"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集气罩+二级活性炭吸附装置+15m高排气筒排放</w:t>
                  </w:r>
                </w:p>
              </w:tc>
              <w:tc>
                <w:tcPr>
                  <w:tcW w:w="779"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eastAsia="zh-CN"/>
                    </w:rPr>
                  </w:pPr>
                  <w:r>
                    <w:rPr>
                      <w:rFonts w:hint="eastAsia"/>
                      <w:bCs/>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胶合废气</w:t>
                  </w:r>
                </w:p>
              </w:tc>
              <w:tc>
                <w:tcPr>
                  <w:tcW w:w="2542"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779"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Cs w:val="21"/>
                      <w:lang w:val="en-US" w:eastAsia="zh-CN"/>
                    </w:rPr>
                  </w:pPr>
                  <w:r>
                    <w:rPr>
                      <w:rFonts w:hint="eastAsia"/>
                      <w:szCs w:val="21"/>
                      <w:lang w:val="en-US" w:eastAsia="zh-CN"/>
                    </w:rPr>
                    <w:t>酒精擦拭废气</w:t>
                  </w:r>
                </w:p>
              </w:tc>
              <w:tc>
                <w:tcPr>
                  <w:tcW w:w="2542"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779"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食堂油烟</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油烟净化装置</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hint="eastAsia"/>
                      <w:bCs/>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restar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废水</w:t>
                  </w: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Cs/>
                      <w:szCs w:val="21"/>
                      <w:lang w:val="en-US" w:eastAsia="zh-CN"/>
                    </w:rPr>
                  </w:pPr>
                  <w:r>
                    <w:rPr>
                      <w:rFonts w:hint="eastAsia"/>
                      <w:bCs/>
                      <w:szCs w:val="21"/>
                      <w:lang w:val="en-US" w:eastAsia="zh-CN"/>
                    </w:rPr>
                    <w:t>综合废水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eastAsia="zh-CN"/>
                    </w:rPr>
                  </w:pPr>
                  <w:r>
                    <w:rPr>
                      <w:rFonts w:hint="eastAsia" w:cs="Times New Roman"/>
                      <w:color w:val="auto"/>
                      <w:sz w:val="21"/>
                      <w:szCs w:val="21"/>
                      <w:lang w:val="en-US" w:eastAsia="zh-CN"/>
                    </w:rPr>
                    <w:t>地埋式污水处理设施（处理规模为10m</w:t>
                  </w:r>
                  <w:r>
                    <w:rPr>
                      <w:rFonts w:hint="eastAsia" w:cs="Times New Roman"/>
                      <w:color w:val="auto"/>
                      <w:sz w:val="21"/>
                      <w:szCs w:val="21"/>
                      <w:vertAlign w:val="superscript"/>
                      <w:lang w:val="en-US" w:eastAsia="zh-CN"/>
                    </w:rPr>
                    <w:t>3</w:t>
                  </w:r>
                  <w:r>
                    <w:rPr>
                      <w:rFonts w:hint="eastAsia" w:cs="Times New Roman"/>
                      <w:color w:val="auto"/>
                      <w:sz w:val="21"/>
                      <w:szCs w:val="21"/>
                      <w:lang w:val="en-US" w:eastAsia="zh-CN"/>
                    </w:rPr>
                    <w:t>/d）</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bCs/>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27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986"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纯水制备浓水</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经园区污水管网外排至市政污水管网</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bCs/>
                      <w:szCs w:val="21"/>
                      <w:lang w:val="en-US" w:eastAsia="zh-CN"/>
                    </w:rPr>
                  </w:pPr>
                  <w:r>
                    <w:rPr>
                      <w:rFonts w:hint="eastAsia"/>
                      <w:bCs/>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噪声治理</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采用车间隔声、设备消声、减振等</w:t>
                  </w:r>
                </w:p>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措施</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6" w:type="pct"/>
                  <w:vMerge w:val="continue"/>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p>
              </w:tc>
              <w:tc>
                <w:tcPr>
                  <w:tcW w:w="1262" w:type="pct"/>
                  <w:gridSpan w:val="2"/>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ascii="Times New Roman" w:hAnsi="Times New Roman"/>
                      <w:bCs/>
                      <w:szCs w:val="21"/>
                    </w:rPr>
                  </w:pPr>
                  <w:r>
                    <w:rPr>
                      <w:rFonts w:ascii="Times New Roman" w:hAnsi="Times New Roman"/>
                      <w:bCs/>
                      <w:szCs w:val="21"/>
                    </w:rPr>
                    <w:t>固废治理</w:t>
                  </w:r>
                </w:p>
              </w:tc>
              <w:tc>
                <w:tcPr>
                  <w:tcW w:w="2542"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default" w:ascii="Times New Roman" w:hAnsi="Times New Roman"/>
                      <w:bCs/>
                      <w:szCs w:val="21"/>
                      <w:vertAlign w:val="baseline"/>
                      <w:lang w:val="en-US" w:eastAsia="zh-CN"/>
                    </w:rPr>
                  </w:pPr>
                  <w:r>
                    <w:rPr>
                      <w:rFonts w:hint="eastAsia"/>
                      <w:bCs/>
                      <w:szCs w:val="21"/>
                      <w:vertAlign w:val="baseline"/>
                      <w:lang w:val="en-US" w:eastAsia="zh-CN"/>
                    </w:rPr>
                    <w:t>一般固废间12.24m</w:t>
                  </w:r>
                  <w:r>
                    <w:rPr>
                      <w:rFonts w:hint="eastAsia"/>
                      <w:bCs/>
                      <w:szCs w:val="21"/>
                      <w:vertAlign w:val="superscript"/>
                      <w:lang w:val="en-US" w:eastAsia="zh-CN"/>
                    </w:rPr>
                    <w:t>2</w:t>
                  </w:r>
                  <w:r>
                    <w:rPr>
                      <w:rFonts w:hint="eastAsia"/>
                      <w:bCs/>
                      <w:szCs w:val="21"/>
                      <w:vertAlign w:val="baseline"/>
                      <w:lang w:val="en-US" w:eastAsia="zh-CN"/>
                    </w:rPr>
                    <w:t>，危废暂存间12.45m</w:t>
                  </w:r>
                  <w:r>
                    <w:rPr>
                      <w:rFonts w:hint="eastAsia"/>
                      <w:bCs/>
                      <w:szCs w:val="21"/>
                      <w:vertAlign w:val="superscript"/>
                      <w:lang w:val="en-US" w:eastAsia="zh-CN"/>
                    </w:rPr>
                    <w:t>2</w:t>
                  </w:r>
                </w:p>
              </w:tc>
              <w:tc>
                <w:tcPr>
                  <w:tcW w:w="779" w:type="pct"/>
                  <w:vAlign w:val="center"/>
                </w:tcPr>
                <w:p>
                  <w:pPr>
                    <w:keepNext w:val="0"/>
                    <w:keepLines w:val="0"/>
                    <w:pageBreakBefore w:val="0"/>
                    <w:widowControl w:val="0"/>
                    <w:tabs>
                      <w:tab w:val="left" w:pos="4465"/>
                    </w:tabs>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Cs/>
                      <w:szCs w:val="21"/>
                      <w:lang w:val="en-US" w:eastAsia="zh-CN"/>
                    </w:rPr>
                  </w:pPr>
                  <w:r>
                    <w:rPr>
                      <w:rFonts w:hint="eastAsia"/>
                      <w:lang w:val="en-US" w:eastAsia="zh-CN"/>
                    </w:rPr>
                    <w:t>新建</w:t>
                  </w:r>
                </w:p>
              </w:tc>
            </w:tr>
            <w:bookmarkEnd w:id="15"/>
          </w:tbl>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firstLine="482"/>
              <w:textAlignment w:val="auto"/>
              <w:rPr>
                <w:rFonts w:hint="eastAsia" w:ascii="Times New Roman" w:hAnsi="Times New Roman" w:eastAsia="宋体" w:cs="Times New Roman"/>
                <w:b/>
                <w:bCs/>
                <w:color w:val="FF0000"/>
                <w:sz w:val="24"/>
                <w:szCs w:val="32"/>
                <w:lang w:eastAsia="zh-CN"/>
              </w:rPr>
            </w:pPr>
            <w:r>
              <w:rPr>
                <w:rFonts w:hint="eastAsia" w:cs="Times New Roman"/>
                <w:b/>
                <w:bCs/>
                <w:color w:val="FF0000"/>
                <w:sz w:val="24"/>
                <w:szCs w:val="32"/>
                <w:lang w:val="en-US" w:eastAsia="zh-CN"/>
              </w:rPr>
              <w:t>2、</w:t>
            </w:r>
            <w:r>
              <w:rPr>
                <w:rFonts w:hint="eastAsia" w:ascii="Times New Roman" w:hAnsi="Times New Roman" w:cs="Times New Roman"/>
                <w:b/>
                <w:bCs/>
                <w:color w:val="FF0000"/>
                <w:sz w:val="24"/>
                <w:szCs w:val="32"/>
                <w:lang w:eastAsia="zh-CN"/>
              </w:rPr>
              <w:t>主要生产设备</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本项目设备清单见</w:t>
            </w:r>
            <w:r>
              <w:rPr>
                <w:rFonts w:hint="eastAsia" w:ascii="Times New Roman" w:hAnsi="Times New Roman" w:cs="Times New Roman"/>
                <w:color w:val="FF0000"/>
                <w:sz w:val="24"/>
                <w:szCs w:val="24"/>
                <w:lang w:eastAsia="zh-CN"/>
              </w:rPr>
              <w:t>下</w:t>
            </w:r>
            <w:r>
              <w:rPr>
                <w:rFonts w:hint="default" w:ascii="Times New Roman" w:hAnsi="Times New Roman" w:cs="Times New Roman"/>
                <w:color w:val="FF0000"/>
                <w:sz w:val="24"/>
                <w:szCs w:val="24"/>
              </w:rPr>
              <w:t>表。</w:t>
            </w:r>
          </w:p>
          <w:p>
            <w:pPr>
              <w:keepNext/>
              <w:keepLines/>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color w:val="FF0000"/>
                <w:sz w:val="21"/>
                <w:szCs w:val="21"/>
              </w:rPr>
            </w:pPr>
            <w:r>
              <w:rPr>
                <w:rFonts w:hint="default" w:ascii="Times New Roman" w:hAnsi="Times New Roman" w:cs="Times New Roman"/>
                <w:b/>
                <w:bCs/>
                <w:color w:val="FF0000"/>
                <w:sz w:val="21"/>
                <w:szCs w:val="21"/>
              </w:rPr>
              <w:t>表</w:t>
            </w:r>
            <w:r>
              <w:rPr>
                <w:rFonts w:hint="eastAsia" w:ascii="Times New Roman" w:hAnsi="Times New Roman" w:cs="Times New Roman"/>
                <w:b/>
                <w:bCs/>
                <w:color w:val="FF0000"/>
                <w:sz w:val="21"/>
                <w:szCs w:val="21"/>
                <w:lang w:val="en-US" w:eastAsia="zh-CN"/>
              </w:rPr>
              <w:t>2-2</w:t>
            </w:r>
            <w:r>
              <w:rPr>
                <w:rFonts w:hint="default" w:ascii="Times New Roman" w:hAnsi="Times New Roman" w:cs="Times New Roman"/>
                <w:b/>
                <w:bCs/>
                <w:color w:val="FF0000"/>
                <w:sz w:val="21"/>
                <w:szCs w:val="21"/>
              </w:rPr>
              <w:t xml:space="preserve">  主要生产设备一览表</w:t>
            </w:r>
          </w:p>
          <w:tbl>
            <w:tblPr>
              <w:tblStyle w:val="27"/>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64"/>
              <w:gridCol w:w="1484"/>
              <w:gridCol w:w="1683"/>
              <w:gridCol w:w="718"/>
              <w:gridCol w:w="317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45"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序号</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设备名称</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设备型号</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color w:val="FF0000"/>
                    </w:rPr>
                  </w:pPr>
                  <w:r>
                    <w:rPr>
                      <w:rFonts w:ascii="Times New Roman" w:hAnsi="Times New Roman"/>
                      <w:b/>
                      <w:color w:val="FF0000"/>
                    </w:rPr>
                    <w:t>数量</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
                      <w:color w:val="FF0000"/>
                      <w:lang w:val="en-US" w:eastAsia="zh-CN"/>
                    </w:rPr>
                  </w:pPr>
                  <w:r>
                    <w:rPr>
                      <w:rFonts w:hint="eastAsia"/>
                      <w:b/>
                      <w:color w:val="FF0000"/>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1</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超声波清洗机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szCs w:val="21"/>
                    </w:rPr>
                  </w:pPr>
                  <w:r>
                    <w:rPr>
                      <w:rFonts w:ascii="Times New Roman" w:hAnsi="Times New Roman"/>
                      <w:color w:val="FF0000"/>
                      <w:szCs w:val="21"/>
                    </w:rPr>
                    <w:t>/</w:t>
                  </w:r>
                </w:p>
              </w:tc>
              <w:tc>
                <w:tcPr>
                  <w:tcW w:w="465"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ascii="Times New Roman" w:hAnsi="Times New Roman"/>
                      <w:color w:val="FF0000"/>
                    </w:rPr>
                    <w:t>1套</w:t>
                  </w:r>
                </w:p>
              </w:tc>
              <w:tc>
                <w:tcPr>
                  <w:tcW w:w="205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lang w:val="en-US" w:eastAsia="zh-CN"/>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2</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洁净烘干箱</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eastAsia="zh-CN"/>
                    </w:rPr>
                  </w:pPr>
                  <w:r>
                    <w:rPr>
                      <w:rFonts w:hint="eastAsia"/>
                      <w:color w:val="FF0000"/>
                      <w:szCs w:val="21"/>
                      <w:lang w:val="en-US" w:eastAsia="zh-CN"/>
                    </w:rPr>
                    <w:t>/</w:t>
                  </w:r>
                </w:p>
              </w:tc>
              <w:tc>
                <w:tcPr>
                  <w:tcW w:w="465"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1台</w:t>
                  </w:r>
                </w:p>
              </w:tc>
              <w:tc>
                <w:tcPr>
                  <w:tcW w:w="2052"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FF0000"/>
                      <w:lang w:val="en-US" w:eastAsia="zh-CN"/>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5"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3</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面光源</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3台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用于远像光屏核心组件产品胶合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5"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12台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用于XR光学模组产品胶合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4</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自动点胶机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4台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用于远像光屏核心组件产品点胶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10台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用于XR光学模组产品点胶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5</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点光源</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2台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kern w:val="2"/>
                      <w:sz w:val="21"/>
                      <w:szCs w:val="24"/>
                      <w:lang w:val="en-US" w:eastAsia="zh-CN" w:bidi="ar-SA"/>
                    </w:rPr>
                  </w:pPr>
                  <w:r>
                    <w:rPr>
                      <w:rFonts w:hint="eastAsia"/>
                      <w:color w:val="FF0000"/>
                      <w:lang w:val="en-US" w:eastAsia="zh-CN"/>
                    </w:rPr>
                    <w:t>用于远像光屏核心组件产品点胶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6台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kern w:val="2"/>
                      <w:sz w:val="21"/>
                      <w:szCs w:val="24"/>
                      <w:lang w:val="en-US" w:eastAsia="zh-CN" w:bidi="ar-SA"/>
                    </w:rPr>
                  </w:pPr>
                  <w:r>
                    <w:rPr>
                      <w:rFonts w:hint="eastAsia"/>
                      <w:color w:val="FF0000"/>
                      <w:lang w:val="en-US" w:eastAsia="zh-CN"/>
                    </w:rPr>
                    <w:t>用于XR光学模组产品点胶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FF0000"/>
                    </w:rPr>
                  </w:pPr>
                  <w:r>
                    <w:rPr>
                      <w:rFonts w:hint="eastAsia" w:ascii="Times New Roman" w:hAnsi="Times New Roman"/>
                      <w:color w:val="FF0000"/>
                    </w:rPr>
                    <w:t>6</w:t>
                  </w:r>
                </w:p>
              </w:tc>
              <w:tc>
                <w:tcPr>
                  <w:tcW w:w="961"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手动点胶机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9台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用于远像光屏核心组件产品点胶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olor w:val="FF0000"/>
                    </w:rPr>
                  </w:pPr>
                </w:p>
              </w:tc>
              <w:tc>
                <w:tcPr>
                  <w:tcW w:w="961"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szCs w:val="21"/>
                      <w:lang w:val="en-US" w:eastAsia="zh-CN"/>
                    </w:rPr>
                  </w:pP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lang w:val="en-US" w:eastAsia="zh-CN"/>
                    </w:rPr>
                  </w:pPr>
                  <w:r>
                    <w:rPr>
                      <w:rFonts w:hint="eastAsia"/>
                      <w:color w:val="FF0000"/>
                      <w:lang w:val="en-US" w:eastAsia="zh-CN"/>
                    </w:rPr>
                    <w:t>29台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用于XR光学模组产品点胶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lang w:val="en-US" w:eastAsia="zh-CN"/>
                    </w:rPr>
                  </w:pPr>
                  <w:r>
                    <w:rPr>
                      <w:rFonts w:hint="eastAsia" w:ascii="Times New Roman" w:hAnsi="Times New Roman"/>
                      <w:color w:val="FF0000"/>
                      <w:lang w:val="en-US" w:eastAsia="zh-CN"/>
                    </w:rPr>
                    <w:t>7</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手电钻</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szCs w:val="21"/>
                      <w:lang w:val="en-US" w:eastAsia="zh-CN"/>
                    </w:rPr>
                  </w:pPr>
                  <w:r>
                    <w:rPr>
                      <w:rFonts w:hint="eastAsia"/>
                      <w:color w:val="FF0000"/>
                      <w:szCs w:val="21"/>
                      <w:lang w:val="en-US" w:eastAsia="zh-CN"/>
                    </w:rPr>
                    <w:t>BOSCH（220V）</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2个</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FF0000"/>
                      <w:lang w:val="en-US" w:eastAsia="zh-CN"/>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kern w:val="2"/>
                      <w:sz w:val="21"/>
                      <w:lang w:val="en-US" w:eastAsia="zh-CN" w:bidi="ar-SA"/>
                    </w:rPr>
                  </w:pPr>
                  <w:r>
                    <w:rPr>
                      <w:rFonts w:hint="eastAsia" w:ascii="Times New Roman" w:hAnsi="Times New Roman"/>
                      <w:color w:val="FF0000"/>
                    </w:rPr>
                    <w:t>8</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手电钻</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BOSCH（充电）GSR120-Li</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kern w:val="2"/>
                      <w:sz w:val="21"/>
                      <w:lang w:val="en-US" w:eastAsia="zh-CN" w:bidi="ar-SA"/>
                    </w:rPr>
                  </w:pPr>
                  <w:r>
                    <w:rPr>
                      <w:rFonts w:hint="eastAsia" w:cs="Times New Roman"/>
                      <w:color w:val="FF0000"/>
                      <w:kern w:val="2"/>
                      <w:sz w:val="21"/>
                      <w:lang w:val="en-US" w:eastAsia="zh-CN" w:bidi="ar-SA"/>
                    </w:rPr>
                    <w:t>2</w:t>
                  </w:r>
                  <w:r>
                    <w:rPr>
                      <w:rFonts w:hint="eastAsia"/>
                      <w:color w:val="FF0000"/>
                      <w:lang w:val="en-US" w:eastAsia="zh-CN"/>
                    </w:rPr>
                    <w:t>个</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FF0000"/>
                      <w:kern w:val="2"/>
                      <w:sz w:val="21"/>
                      <w:lang w:val="en-US" w:eastAsia="zh-CN" w:bidi="ar-SA"/>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FF0000"/>
                      <w:lang w:val="en-US" w:eastAsia="zh-CN"/>
                    </w:rPr>
                  </w:pPr>
                  <w:r>
                    <w:rPr>
                      <w:rFonts w:hint="eastAsia"/>
                      <w:color w:val="FF0000"/>
                      <w:lang w:val="en-US" w:eastAsia="zh-CN"/>
                    </w:rPr>
                    <w:t>9</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专用老化及检验台</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自研，8pcs/台</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color w:val="FF0000"/>
                      <w:kern w:val="2"/>
                      <w:sz w:val="21"/>
                      <w:lang w:val="en-US" w:eastAsia="zh-CN" w:bidi="ar-SA"/>
                    </w:rPr>
                  </w:pPr>
                  <w:r>
                    <w:rPr>
                      <w:rFonts w:hint="eastAsia" w:cs="Times New Roman"/>
                      <w:color w:val="FF0000"/>
                      <w:kern w:val="2"/>
                      <w:sz w:val="21"/>
                      <w:lang w:val="en-US" w:eastAsia="zh-CN" w:bidi="ar-SA"/>
                    </w:rPr>
                    <w:t>60个</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kern w:val="2"/>
                      <w:sz w:val="21"/>
                      <w:szCs w:val="24"/>
                      <w:lang w:val="en-US" w:eastAsia="zh-CN" w:bidi="ar-SA"/>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10</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自动封胶带机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color w:val="FF0000"/>
                      <w:kern w:val="2"/>
                      <w:sz w:val="21"/>
                      <w:lang w:val="en-US" w:eastAsia="zh-CN" w:bidi="ar-SA"/>
                    </w:rPr>
                  </w:pPr>
                  <w:r>
                    <w:rPr>
                      <w:rFonts w:hint="eastAsia" w:cs="Times New Roman"/>
                      <w:color w:val="FF0000"/>
                      <w:kern w:val="2"/>
                      <w:sz w:val="21"/>
                      <w:lang w:val="en-US" w:eastAsia="zh-CN" w:bidi="ar-SA"/>
                    </w:rPr>
                    <w:t>1台</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FF0000"/>
                      <w:kern w:val="2"/>
                      <w:sz w:val="21"/>
                      <w:lang w:val="en-US" w:eastAsia="zh-CN" w:bidi="ar-SA"/>
                    </w:rPr>
                  </w:pPr>
                  <w:r>
                    <w:rPr>
                      <w:rFonts w:hint="eastAsia"/>
                      <w:color w:val="FF0000"/>
                      <w:lang w:val="en-US" w:eastAsia="zh-CN"/>
                    </w:rPr>
                    <w:t>两种产品共用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blHeader/>
              </w:trPr>
              <w:tc>
                <w:tcPr>
                  <w:tcW w:w="43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FF0000"/>
                      <w:lang w:val="en-US" w:eastAsia="zh-CN"/>
                    </w:rPr>
                  </w:pPr>
                  <w:r>
                    <w:rPr>
                      <w:rFonts w:hint="eastAsia"/>
                      <w:color w:val="FF0000"/>
                      <w:lang w:val="en-US" w:eastAsia="zh-CN"/>
                    </w:rPr>
                    <w:t>11</w:t>
                  </w:r>
                </w:p>
              </w:tc>
              <w:tc>
                <w:tcPr>
                  <w:tcW w:w="961"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纯水机</w:t>
                  </w:r>
                </w:p>
              </w:tc>
              <w:tc>
                <w:tcPr>
                  <w:tcW w:w="1090"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FF0000"/>
                      <w:szCs w:val="21"/>
                      <w:lang w:val="en-US" w:eastAsia="zh-CN"/>
                    </w:rPr>
                  </w:pPr>
                  <w:r>
                    <w:rPr>
                      <w:rFonts w:hint="eastAsia"/>
                      <w:color w:val="FF0000"/>
                      <w:szCs w:val="21"/>
                      <w:lang w:val="en-US" w:eastAsia="zh-CN"/>
                    </w:rPr>
                    <w:t>/</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color w:val="FF0000"/>
                      <w:kern w:val="2"/>
                      <w:sz w:val="21"/>
                      <w:lang w:val="en-US" w:eastAsia="zh-CN" w:bidi="ar-SA"/>
                    </w:rPr>
                  </w:pPr>
                  <w:r>
                    <w:rPr>
                      <w:rFonts w:hint="eastAsia" w:cs="Times New Roman"/>
                      <w:color w:val="FF0000"/>
                      <w:kern w:val="2"/>
                      <w:sz w:val="21"/>
                      <w:lang w:val="en-US" w:eastAsia="zh-CN" w:bidi="ar-SA"/>
                    </w:rPr>
                    <w:t>1套</w:t>
                  </w:r>
                </w:p>
              </w:tc>
              <w:tc>
                <w:tcPr>
                  <w:tcW w:w="205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FF0000"/>
                      <w:kern w:val="2"/>
                      <w:sz w:val="21"/>
                      <w:lang w:val="en-US" w:eastAsia="zh-CN" w:bidi="ar-SA"/>
                    </w:rPr>
                  </w:pPr>
                  <w:r>
                    <w:rPr>
                      <w:rFonts w:hint="eastAsia"/>
                      <w:color w:val="FF0000"/>
                      <w:lang w:val="en-US" w:eastAsia="zh-CN"/>
                    </w:rPr>
                    <w:t>两种产品共用</w:t>
                  </w:r>
                </w:p>
              </w:tc>
            </w:tr>
          </w:tbl>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Times New Roman" w:hAnsi="Times New Roman" w:eastAsia="宋体" w:cs="Times New Roman"/>
                <w:b/>
                <w:bCs/>
                <w:color w:val="FF0000"/>
                <w:sz w:val="24"/>
                <w:szCs w:val="32"/>
                <w:lang w:eastAsia="zh-CN"/>
              </w:rPr>
            </w:pPr>
            <w:r>
              <w:rPr>
                <w:rFonts w:hint="eastAsia" w:cs="Times New Roman"/>
                <w:b/>
                <w:bCs/>
                <w:color w:val="FF0000"/>
                <w:sz w:val="24"/>
                <w:szCs w:val="32"/>
                <w:lang w:val="en-US" w:eastAsia="zh-CN"/>
              </w:rPr>
              <w:t>3、</w:t>
            </w:r>
            <w:r>
              <w:rPr>
                <w:rFonts w:hint="eastAsia" w:ascii="Times New Roman" w:hAnsi="Times New Roman" w:cs="Times New Roman"/>
                <w:b/>
                <w:bCs/>
                <w:color w:val="FF0000"/>
                <w:sz w:val="24"/>
                <w:szCs w:val="32"/>
                <w:lang w:eastAsia="zh-CN"/>
              </w:rPr>
              <w:t>主要</w:t>
            </w:r>
            <w:r>
              <w:rPr>
                <w:rFonts w:hint="default" w:ascii="Times New Roman" w:hAnsi="Times New Roman" w:cs="Times New Roman"/>
                <w:b/>
                <w:bCs/>
                <w:color w:val="FF0000"/>
                <w:sz w:val="24"/>
                <w:szCs w:val="32"/>
              </w:rPr>
              <w:t>原辅材料</w:t>
            </w:r>
            <w:r>
              <w:rPr>
                <w:rFonts w:hint="eastAsia" w:ascii="Times New Roman" w:hAnsi="Times New Roman" w:cs="Times New Roman"/>
                <w:b/>
                <w:bCs/>
                <w:color w:val="FF0000"/>
                <w:sz w:val="24"/>
                <w:szCs w:val="32"/>
                <w:lang w:eastAsia="zh-CN"/>
              </w:rPr>
              <w:t>、能源消耗</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b/>
                <w:bCs/>
                <w:color w:val="FF0000"/>
                <w:sz w:val="24"/>
                <w:szCs w:val="24"/>
                <w:lang w:eastAsia="zh-CN"/>
              </w:rPr>
            </w:pPr>
            <w:r>
              <w:rPr>
                <w:rFonts w:hint="default" w:ascii="Times New Roman" w:hAnsi="Times New Roman" w:cs="Times New Roman"/>
                <w:color w:val="FF0000"/>
                <w:sz w:val="24"/>
                <w:szCs w:val="32"/>
              </w:rPr>
              <w:t>本项目</w:t>
            </w:r>
            <w:r>
              <w:rPr>
                <w:rFonts w:hint="eastAsia" w:ascii="Times New Roman" w:hAnsi="Times New Roman" w:cs="Times New Roman"/>
                <w:color w:val="FF0000"/>
                <w:sz w:val="24"/>
                <w:szCs w:val="32"/>
                <w:lang w:eastAsia="zh-CN"/>
              </w:rPr>
              <w:t>主要原辅材料消耗</w:t>
            </w:r>
            <w:r>
              <w:rPr>
                <w:rFonts w:hint="default" w:ascii="Times New Roman" w:hAnsi="Times New Roman" w:cs="Times New Roman"/>
                <w:color w:val="FF0000"/>
                <w:sz w:val="24"/>
                <w:szCs w:val="32"/>
              </w:rPr>
              <w:t>见</w:t>
            </w:r>
            <w:r>
              <w:rPr>
                <w:rFonts w:hint="eastAsia" w:ascii="Times New Roman" w:hAnsi="Times New Roman" w:cs="Times New Roman"/>
                <w:color w:val="FF0000"/>
                <w:sz w:val="24"/>
                <w:szCs w:val="32"/>
                <w:lang w:eastAsia="zh-CN"/>
              </w:rPr>
              <w:t>下表</w:t>
            </w:r>
            <w:r>
              <w:rPr>
                <w:rFonts w:hint="eastAsia" w:ascii="Times New Roman" w:hAnsi="Times New Roman" w:cs="Times New Roman"/>
                <w:color w:val="FF000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2"/>
              <w:jc w:val="center"/>
              <w:textAlignment w:val="auto"/>
              <w:rPr>
                <w:rFonts w:hint="default" w:ascii="Times New Roman" w:hAnsi="Times New Roman" w:eastAsia="宋体" w:cs="Times New Roman"/>
                <w:b/>
                <w:bCs/>
                <w:color w:val="FF0000"/>
                <w:sz w:val="21"/>
                <w:szCs w:val="21"/>
                <w:lang w:val="en-US" w:eastAsia="zh-CN"/>
              </w:rPr>
            </w:pPr>
            <w:r>
              <w:rPr>
                <w:rFonts w:hint="default" w:ascii="Times New Roman" w:hAnsi="Times New Roman" w:cs="Times New Roman"/>
                <w:b/>
                <w:bCs/>
                <w:color w:val="FF0000"/>
                <w:sz w:val="21"/>
                <w:szCs w:val="21"/>
              </w:rPr>
              <w:t>表</w:t>
            </w:r>
            <w:r>
              <w:rPr>
                <w:rFonts w:hint="default" w:ascii="Times New Roman" w:hAnsi="Times New Roman" w:cs="Times New Roman"/>
                <w:b/>
                <w:bCs/>
                <w:color w:val="FF0000"/>
                <w:sz w:val="21"/>
                <w:szCs w:val="21"/>
                <w:lang w:val="en-US" w:eastAsia="zh-CN"/>
              </w:rPr>
              <w:t>2-3</w:t>
            </w:r>
            <w:r>
              <w:rPr>
                <w:rFonts w:hint="default" w:ascii="Times New Roman" w:hAnsi="Times New Roman" w:cs="Times New Roman"/>
                <w:b/>
                <w:bCs/>
                <w:color w:val="FF0000"/>
                <w:sz w:val="21"/>
                <w:szCs w:val="21"/>
              </w:rPr>
              <w:t xml:space="preserve"> </w:t>
            </w:r>
            <w:r>
              <w:rPr>
                <w:rFonts w:hint="default" w:ascii="Times New Roman" w:hAnsi="Times New Roman" w:eastAsia="宋体" w:cs="Times New Roman"/>
                <w:b/>
                <w:bCs/>
                <w:color w:val="FF0000"/>
                <w:sz w:val="21"/>
                <w:szCs w:val="21"/>
                <w:lang w:val="en-US" w:eastAsia="zh-CN"/>
              </w:rPr>
              <w:t>项目</w:t>
            </w:r>
            <w:r>
              <w:rPr>
                <w:rFonts w:hint="eastAsia"/>
                <w:b/>
                <w:color w:val="FF0000"/>
              </w:rPr>
              <w:t>远像光屏核心组件</w:t>
            </w:r>
            <w:r>
              <w:rPr>
                <w:rFonts w:hint="eastAsia"/>
                <w:b/>
                <w:color w:val="FF0000"/>
                <w:lang w:val="en-US" w:eastAsia="zh-CN"/>
              </w:rPr>
              <w:t>产品</w:t>
            </w:r>
            <w:r>
              <w:rPr>
                <w:rFonts w:hint="default" w:ascii="Times New Roman" w:hAnsi="Times New Roman" w:eastAsia="宋体" w:cs="Times New Roman"/>
                <w:b/>
                <w:bCs/>
                <w:color w:val="FF0000"/>
                <w:sz w:val="21"/>
                <w:szCs w:val="21"/>
                <w:lang w:val="en-US" w:eastAsia="zh-CN"/>
              </w:rPr>
              <w:t>原辅材料用量汇总表</w:t>
            </w:r>
          </w:p>
          <w:tbl>
            <w:tblPr>
              <w:tblStyle w:val="27"/>
              <w:tblW w:w="4998"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816"/>
              <w:gridCol w:w="1719"/>
              <w:gridCol w:w="2117"/>
              <w:gridCol w:w="14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cs="Times New Roman" w:eastAsiaTheme="majorEastAsia"/>
                      <w:b/>
                      <w:color w:val="FF0000"/>
                      <w:sz w:val="21"/>
                      <w:szCs w:val="21"/>
                    </w:rPr>
                  </w:pPr>
                  <w:r>
                    <w:rPr>
                      <w:rFonts w:hint="default" w:ascii="Times New Roman" w:hAnsi="Times New Roman" w:cs="Times New Roman" w:eastAsiaTheme="majorEastAsia"/>
                      <w:b/>
                      <w:color w:val="FF0000"/>
                      <w:sz w:val="21"/>
                      <w:szCs w:val="21"/>
                    </w:rPr>
                    <w:t>序号</w:t>
                  </w:r>
                </w:p>
              </w:tc>
              <w:tc>
                <w:tcPr>
                  <w:tcW w:w="1176" w:type="pct"/>
                  <w:tcBorders>
                    <w:tl2br w:val="nil"/>
                    <w:tr2bl w:val="nil"/>
                  </w:tcBorders>
                  <w:vAlign w:val="center"/>
                </w:tcPr>
                <w:p>
                  <w:pPr>
                    <w:jc w:val="center"/>
                    <w:rPr>
                      <w:rFonts w:hint="default" w:ascii="Times New Roman" w:hAnsi="Times New Roman" w:cs="Times New Roman" w:eastAsiaTheme="majorEastAsia"/>
                      <w:b/>
                      <w:color w:val="FF0000"/>
                      <w:sz w:val="21"/>
                      <w:szCs w:val="21"/>
                    </w:rPr>
                  </w:pPr>
                  <w:r>
                    <w:rPr>
                      <w:rFonts w:hint="default" w:ascii="Times New Roman" w:hAnsi="Times New Roman" w:cs="Times New Roman" w:eastAsiaTheme="majorEastAsia"/>
                      <w:b/>
                      <w:color w:val="FF0000"/>
                      <w:sz w:val="21"/>
                      <w:szCs w:val="21"/>
                    </w:rPr>
                    <w:t>原辅料名称</w:t>
                  </w:r>
                </w:p>
              </w:tc>
              <w:tc>
                <w:tcPr>
                  <w:tcW w:w="1113" w:type="pct"/>
                  <w:tcBorders>
                    <w:tl2br w:val="nil"/>
                    <w:tr2bl w:val="nil"/>
                  </w:tcBorders>
                  <w:vAlign w:val="center"/>
                </w:tcPr>
                <w:p>
                  <w:pPr>
                    <w:jc w:val="center"/>
                    <w:rPr>
                      <w:rFonts w:hint="default" w:ascii="Times New Roman" w:hAnsi="Times New Roman" w:cs="Times New Roman" w:eastAsiaTheme="majorEastAsia"/>
                      <w:b/>
                      <w:color w:val="FF0000"/>
                      <w:sz w:val="21"/>
                      <w:szCs w:val="21"/>
                    </w:rPr>
                  </w:pPr>
                  <w:r>
                    <w:rPr>
                      <w:rFonts w:hint="default" w:ascii="Times New Roman" w:hAnsi="Times New Roman" w:cs="Times New Roman" w:eastAsiaTheme="majorEastAsia"/>
                      <w:b/>
                      <w:color w:val="FF0000"/>
                      <w:sz w:val="21"/>
                      <w:szCs w:val="21"/>
                    </w:rPr>
                    <w:t>用量</w:t>
                  </w:r>
                </w:p>
              </w:tc>
              <w:tc>
                <w:tcPr>
                  <w:tcW w:w="1371" w:type="pct"/>
                  <w:tcBorders>
                    <w:tl2br w:val="nil"/>
                    <w:tr2bl w:val="nil"/>
                  </w:tcBorders>
                  <w:vAlign w:val="center"/>
                </w:tcPr>
                <w:p>
                  <w:pPr>
                    <w:jc w:val="center"/>
                    <w:rPr>
                      <w:rFonts w:hint="default" w:ascii="Times New Roman" w:hAnsi="Times New Roman" w:cs="Times New Roman" w:eastAsiaTheme="majorEastAsia"/>
                      <w:b/>
                      <w:color w:val="FF0000"/>
                      <w:sz w:val="21"/>
                      <w:szCs w:val="21"/>
                      <w:lang w:val="en-US" w:eastAsia="zh-CN"/>
                    </w:rPr>
                  </w:pPr>
                  <w:r>
                    <w:rPr>
                      <w:rFonts w:hint="default" w:ascii="Times New Roman" w:hAnsi="Times New Roman" w:cs="Times New Roman" w:eastAsiaTheme="majorEastAsia"/>
                      <w:b/>
                      <w:color w:val="FF0000"/>
                      <w:sz w:val="21"/>
                      <w:szCs w:val="21"/>
                      <w:lang w:val="en-US" w:eastAsia="zh-CN"/>
                    </w:rPr>
                    <w:t>包装方式及规格</w:t>
                  </w:r>
                </w:p>
              </w:tc>
              <w:tc>
                <w:tcPr>
                  <w:tcW w:w="915" w:type="pct"/>
                  <w:tcBorders>
                    <w:tl2br w:val="nil"/>
                    <w:tr2bl w:val="nil"/>
                  </w:tcBorders>
                  <w:vAlign w:val="center"/>
                </w:tcPr>
                <w:p>
                  <w:pPr>
                    <w:jc w:val="center"/>
                    <w:rPr>
                      <w:rFonts w:hint="default" w:ascii="Times New Roman" w:hAnsi="Times New Roman" w:cs="Times New Roman" w:eastAsiaTheme="majorEastAsia"/>
                      <w:b/>
                      <w:color w:val="FF0000"/>
                      <w:sz w:val="21"/>
                      <w:szCs w:val="21"/>
                      <w:lang w:val="en-US" w:eastAsia="zh-CN"/>
                    </w:rPr>
                  </w:pPr>
                  <w:r>
                    <w:rPr>
                      <w:rFonts w:hint="eastAsia" w:cs="Times New Roman" w:eastAsiaTheme="majorEastAsia"/>
                      <w:b/>
                      <w:color w:val="FF0000"/>
                      <w:sz w:val="21"/>
                      <w:szCs w:val="21"/>
                      <w:lang w:val="en-US" w:eastAsia="zh-CN"/>
                    </w:rPr>
                    <w:t>最大存储量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1</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结构塑胶成型件</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eastAsia"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2</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结构金属成型件</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3</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光学玻璃</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4</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电路板</w:t>
                  </w:r>
                </w:p>
              </w:tc>
              <w:tc>
                <w:tcPr>
                  <w:tcW w:w="1113"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3万套</w:t>
                  </w:r>
                </w:p>
              </w:tc>
              <w:tc>
                <w:tcPr>
                  <w:tcW w:w="1371"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箱装</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cs="Times New Roman"/>
                      <w:color w:val="FF0000"/>
                      <w:sz w:val="21"/>
                      <w:szCs w:val="21"/>
                      <w:lang w:val="en-US" w:eastAsia="zh-CN"/>
                    </w:rPr>
                    <w:t>7500</w:t>
                  </w:r>
                  <w:r>
                    <w:rPr>
                      <w:rFonts w:hint="default" w:ascii="Times New Roman" w:hAnsi="Times New Roman" w:cs="Times New Roman"/>
                      <w:color w:val="FF0000"/>
                      <w:sz w:val="21"/>
                      <w:szCs w:val="21"/>
                    </w:rPr>
                    <w:t>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5</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酒精</w:t>
                  </w:r>
                </w:p>
              </w:tc>
              <w:tc>
                <w:tcPr>
                  <w:tcW w:w="1113" w:type="pct"/>
                  <w:tcBorders>
                    <w:tl2br w:val="nil"/>
                    <w:tr2bl w:val="nil"/>
                  </w:tcBorders>
                  <w:vAlign w:val="center"/>
                </w:tcPr>
                <w:p>
                  <w:pPr>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800</w:t>
                  </w:r>
                  <w:r>
                    <w:rPr>
                      <w:rFonts w:hint="eastAsia" w:ascii="Times New Roman" w:hAnsi="Times New Roman" w:cs="Times New Roman"/>
                      <w:color w:val="FF0000"/>
                      <w:lang w:val="en-US" w:eastAsia="zh-CN"/>
                    </w:rPr>
                    <w:t>kg</w:t>
                  </w:r>
                  <w:r>
                    <w:rPr>
                      <w:rFonts w:hint="default" w:ascii="Times New Roman" w:hAnsi="Times New Roman" w:cs="Times New Roman"/>
                      <w:color w:val="FF0000"/>
                      <w:sz w:val="21"/>
                      <w:szCs w:val="21"/>
                    </w:rPr>
                    <w:t>/</w:t>
                  </w:r>
                  <w:r>
                    <w:rPr>
                      <w:rFonts w:hint="eastAsia" w:ascii="Times New Roman" w:hAnsi="Times New Roman" w:cs="Times New Roman"/>
                      <w:color w:val="FF0000"/>
                      <w:sz w:val="21"/>
                      <w:szCs w:val="21"/>
                      <w:lang w:val="en-US" w:eastAsia="zh-CN"/>
                    </w:rPr>
                    <w:t>a</w:t>
                  </w:r>
                </w:p>
              </w:tc>
              <w:tc>
                <w:tcPr>
                  <w:tcW w:w="1371" w:type="pct"/>
                  <w:tcBorders>
                    <w:tl2br w:val="nil"/>
                    <w:tr2bl w:val="nil"/>
                  </w:tcBorders>
                  <w:vAlign w:val="center"/>
                </w:tcPr>
                <w:p>
                  <w:pPr>
                    <w:jc w:val="center"/>
                    <w:rPr>
                      <w:rFonts w:hint="eastAsia" w:ascii="Times New Roman" w:hAnsi="Times New Roman" w:eastAsia="宋体" w:cs="Times New Roman"/>
                      <w:color w:val="FF0000"/>
                      <w:sz w:val="21"/>
                      <w:szCs w:val="21"/>
                      <w:lang w:val="en-US" w:eastAsia="zh-CN"/>
                    </w:rPr>
                  </w:pPr>
                  <w:r>
                    <w:rPr>
                      <w:rFonts w:hint="eastAsia" w:ascii="Times New Roman" w:hAnsi="Times New Roman" w:eastAsia="宋体" w:cs="Times New Roman"/>
                      <w:color w:val="FF0000"/>
                      <w:sz w:val="21"/>
                      <w:szCs w:val="21"/>
                      <w:lang w:val="en-US" w:eastAsia="zh-CN"/>
                    </w:rPr>
                    <w:t>500ml/瓶</w:t>
                  </w:r>
                </w:p>
              </w:tc>
              <w:tc>
                <w:tcPr>
                  <w:tcW w:w="915" w:type="pct"/>
                  <w:tcBorders>
                    <w:tl2br w:val="nil"/>
                    <w:tr2bl w:val="nil"/>
                  </w:tcBorders>
                  <w:vAlign w:val="center"/>
                </w:tcPr>
                <w:p>
                  <w:pPr>
                    <w:jc w:val="center"/>
                    <w:rPr>
                      <w:rFonts w:hint="default" w:ascii="Times New Roman" w:hAnsi="Times New Roman" w:cs="Times New Roman"/>
                      <w:color w:val="FF0000"/>
                      <w:sz w:val="21"/>
                      <w:szCs w:val="21"/>
                      <w:lang w:val="en-US"/>
                    </w:rPr>
                  </w:pPr>
                  <w:r>
                    <w:rPr>
                      <w:rFonts w:hint="eastAsia" w:ascii="Times New Roman" w:hAnsi="Times New Roman" w:cs="Times New Roman"/>
                      <w:color w:val="FF0000"/>
                      <w:sz w:val="21"/>
                      <w:szCs w:val="21"/>
                      <w:lang w:val="en-US" w:eastAsia="zh-CN"/>
                    </w:rPr>
                    <w:t>2</w:t>
                  </w:r>
                  <w:r>
                    <w:rPr>
                      <w:rFonts w:hint="default" w:ascii="Times New Roman" w:hAnsi="Times New Roman" w:cs="Times New Roman"/>
                      <w:color w:val="FF0000"/>
                      <w:sz w:val="21"/>
                      <w:szCs w:val="21"/>
                    </w:rPr>
                    <w:t>00</w:t>
                  </w:r>
                  <w:r>
                    <w:rPr>
                      <w:rFonts w:hint="eastAsia" w:ascii="Times New Roman" w:hAnsi="Times New Roman" w:cs="Times New Roman"/>
                      <w:color w:val="FF0000"/>
                      <w:lang w:val="en-US" w:eastAsia="zh-CN"/>
                    </w:rPr>
                    <w:t>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422" w:type="pct"/>
                  <w:tcBorders>
                    <w:tl2br w:val="nil"/>
                    <w:tr2bl w:val="nil"/>
                  </w:tcBorders>
                  <w:vAlign w:val="center"/>
                </w:tcPr>
                <w:p>
                  <w:pPr>
                    <w:jc w:val="center"/>
                    <w:rPr>
                      <w:rFonts w:hint="default" w:ascii="Times New Roman" w:hAnsi="Times New Roman" w:eastAsia="仿宋" w:cs="Times New Roman"/>
                      <w:color w:val="FF0000"/>
                      <w:sz w:val="21"/>
                      <w:szCs w:val="21"/>
                    </w:rPr>
                  </w:pPr>
                  <w:r>
                    <w:rPr>
                      <w:rFonts w:hint="default" w:ascii="Times New Roman" w:hAnsi="Times New Roman" w:eastAsia="仿宋" w:cs="Times New Roman"/>
                      <w:color w:val="FF0000"/>
                      <w:sz w:val="21"/>
                      <w:szCs w:val="21"/>
                    </w:rPr>
                    <w:t>6</w:t>
                  </w:r>
                </w:p>
              </w:tc>
              <w:tc>
                <w:tcPr>
                  <w:tcW w:w="1176" w:type="pct"/>
                  <w:tcBorders>
                    <w:tl2br w:val="nil"/>
                    <w:tr2bl w:val="nil"/>
                  </w:tcBorders>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紫外光胶</w:t>
                  </w:r>
                </w:p>
              </w:tc>
              <w:tc>
                <w:tcPr>
                  <w:tcW w:w="1113" w:type="pct"/>
                  <w:tcBorders>
                    <w:tl2br w:val="nil"/>
                    <w:tr2bl w:val="nil"/>
                  </w:tcBorders>
                  <w:vAlign w:val="center"/>
                </w:tcPr>
                <w:p>
                  <w:pPr>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40</w:t>
                  </w:r>
                  <w:r>
                    <w:rPr>
                      <w:rFonts w:hint="eastAsia" w:ascii="Times New Roman" w:hAnsi="Times New Roman" w:cs="Times New Roman"/>
                      <w:color w:val="FF0000"/>
                      <w:lang w:val="en-US" w:eastAsia="zh-CN"/>
                    </w:rPr>
                    <w:t>kg</w:t>
                  </w:r>
                  <w:r>
                    <w:rPr>
                      <w:rFonts w:hint="default" w:ascii="Times New Roman" w:hAnsi="Times New Roman" w:cs="Times New Roman"/>
                      <w:color w:val="FF0000"/>
                      <w:sz w:val="21"/>
                      <w:szCs w:val="21"/>
                    </w:rPr>
                    <w:t>/</w:t>
                  </w:r>
                  <w:r>
                    <w:rPr>
                      <w:rFonts w:hint="eastAsia" w:ascii="Times New Roman" w:hAnsi="Times New Roman" w:cs="Times New Roman"/>
                      <w:color w:val="FF0000"/>
                      <w:sz w:val="21"/>
                      <w:szCs w:val="21"/>
                      <w:lang w:val="en-US" w:eastAsia="zh-CN"/>
                    </w:rPr>
                    <w:t>a</w:t>
                  </w:r>
                </w:p>
              </w:tc>
              <w:tc>
                <w:tcPr>
                  <w:tcW w:w="1371" w:type="pct"/>
                  <w:tcBorders>
                    <w:tl2br w:val="nil"/>
                    <w:tr2bl w:val="nil"/>
                  </w:tcBorders>
                  <w:vAlign w:val="center"/>
                </w:tcPr>
                <w:p>
                  <w:pPr>
                    <w:jc w:val="center"/>
                    <w:rPr>
                      <w:rFonts w:hint="eastAsia"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5</w:t>
                  </w:r>
                  <w:r>
                    <w:rPr>
                      <w:rFonts w:hint="eastAsia" w:ascii="Times New Roman" w:hAnsi="Times New Roman" w:eastAsia="宋体" w:cs="Times New Roman"/>
                      <w:color w:val="FF0000"/>
                      <w:sz w:val="21"/>
                      <w:szCs w:val="21"/>
                      <w:lang w:val="en-US" w:eastAsia="zh-CN"/>
                    </w:rPr>
                    <w:t>0ml/瓶</w:t>
                  </w:r>
                </w:p>
              </w:tc>
              <w:tc>
                <w:tcPr>
                  <w:tcW w:w="915" w:type="pct"/>
                  <w:tcBorders>
                    <w:tl2br w:val="nil"/>
                    <w:tr2bl w:val="nil"/>
                  </w:tcBorders>
                  <w:vAlign w:val="center"/>
                </w:tcPr>
                <w:p>
                  <w:pPr>
                    <w:jc w:val="center"/>
                    <w:rPr>
                      <w:rFonts w:hint="default" w:ascii="Times New Roman" w:hAnsi="Times New Roman" w:cs="Times New Roman"/>
                      <w:color w:val="FF0000"/>
                      <w:sz w:val="21"/>
                      <w:szCs w:val="21"/>
                    </w:rPr>
                  </w:pPr>
                  <w:r>
                    <w:rPr>
                      <w:rFonts w:hint="eastAsia" w:ascii="Times New Roman" w:hAnsi="Times New Roman" w:cs="Times New Roman"/>
                      <w:color w:val="FF0000"/>
                      <w:sz w:val="21"/>
                      <w:szCs w:val="21"/>
                      <w:lang w:val="en-US" w:eastAsia="zh-CN"/>
                    </w:rPr>
                    <w:t>2</w:t>
                  </w:r>
                  <w:r>
                    <w:rPr>
                      <w:rFonts w:hint="default" w:ascii="Times New Roman" w:hAnsi="Times New Roman" w:cs="Times New Roman"/>
                      <w:color w:val="FF0000"/>
                      <w:sz w:val="21"/>
                      <w:szCs w:val="21"/>
                    </w:rPr>
                    <w:t>0</w:t>
                  </w:r>
                  <w:r>
                    <w:rPr>
                      <w:rFonts w:hint="eastAsia" w:ascii="Times New Roman" w:hAnsi="Times New Roman" w:cs="Times New Roman"/>
                      <w:color w:val="FF0000"/>
                      <w:lang w:val="en-US" w:eastAsia="zh-CN"/>
                    </w:rPr>
                    <w:t>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2" w:type="pct"/>
                  <w:tcBorders>
                    <w:tl2br w:val="nil"/>
                    <w:tr2bl w:val="nil"/>
                  </w:tcBorders>
                  <w:shd w:val="clear" w:color="auto" w:fill="auto"/>
                  <w:vAlign w:val="center"/>
                </w:tcPr>
                <w:p>
                  <w:pPr>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val="en-US" w:eastAsia="zh-CN"/>
                    </w:rPr>
                    <w:t>7</w:t>
                  </w:r>
                </w:p>
              </w:tc>
              <w:tc>
                <w:tcPr>
                  <w:tcW w:w="1176" w:type="pct"/>
                  <w:tcBorders>
                    <w:tl2br w:val="nil"/>
                    <w:tr2bl w:val="nil"/>
                  </w:tcBorders>
                  <w:shd w:val="clear" w:color="auto" w:fill="auto"/>
                  <w:vAlign w:val="center"/>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硅胶胶水</w:t>
                  </w:r>
                </w:p>
              </w:tc>
              <w:tc>
                <w:tcPr>
                  <w:tcW w:w="1113" w:type="pct"/>
                  <w:tcBorders>
                    <w:tl2br w:val="nil"/>
                    <w:tr2bl w:val="nil"/>
                  </w:tcBorders>
                  <w:shd w:val="clear" w:color="auto" w:fill="auto"/>
                  <w:vAlign w:val="center"/>
                </w:tcPr>
                <w:p>
                  <w:pPr>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250</w:t>
                  </w:r>
                  <w:r>
                    <w:rPr>
                      <w:rFonts w:hint="eastAsia" w:ascii="Times New Roman" w:hAnsi="Times New Roman" w:cs="Times New Roman"/>
                      <w:color w:val="FF0000"/>
                      <w:lang w:val="en-US" w:eastAsia="zh-CN"/>
                    </w:rPr>
                    <w:t>kg</w:t>
                  </w:r>
                  <w:r>
                    <w:rPr>
                      <w:rFonts w:hint="default" w:ascii="Times New Roman" w:hAnsi="Times New Roman" w:cs="Times New Roman"/>
                      <w:color w:val="FF0000"/>
                      <w:sz w:val="21"/>
                      <w:szCs w:val="21"/>
                    </w:rPr>
                    <w:t>/</w:t>
                  </w:r>
                  <w:r>
                    <w:rPr>
                      <w:rFonts w:hint="eastAsia" w:ascii="Times New Roman" w:hAnsi="Times New Roman" w:cs="Times New Roman"/>
                      <w:color w:val="FF0000"/>
                      <w:sz w:val="21"/>
                      <w:szCs w:val="21"/>
                      <w:lang w:val="en-US" w:eastAsia="zh-CN"/>
                    </w:rPr>
                    <w:t>a</w:t>
                  </w:r>
                </w:p>
              </w:tc>
              <w:tc>
                <w:tcPr>
                  <w:tcW w:w="1371" w:type="pct"/>
                  <w:tcBorders>
                    <w:tl2br w:val="nil"/>
                    <w:tr2bl w:val="nil"/>
                  </w:tcBorders>
                  <w:shd w:val="clear" w:color="auto" w:fill="auto"/>
                  <w:vAlign w:val="center"/>
                </w:tcPr>
                <w:p>
                  <w:pPr>
                    <w:jc w:val="center"/>
                    <w:rPr>
                      <w:rFonts w:hint="default" w:ascii="Times New Roman" w:hAnsi="Times New Roman" w:cs="Times New Roman"/>
                      <w:color w:val="FF0000"/>
                      <w:sz w:val="21"/>
                      <w:szCs w:val="21"/>
                      <w:lang w:val="en-US"/>
                    </w:rPr>
                  </w:pPr>
                  <w:r>
                    <w:rPr>
                      <w:rFonts w:hint="eastAsia" w:cs="Times New Roman"/>
                      <w:color w:val="FF0000"/>
                      <w:sz w:val="21"/>
                      <w:szCs w:val="21"/>
                      <w:lang w:val="en-US" w:eastAsia="zh-CN"/>
                    </w:rPr>
                    <w:t>170g/支</w:t>
                  </w:r>
                </w:p>
              </w:tc>
              <w:tc>
                <w:tcPr>
                  <w:tcW w:w="915" w:type="pct"/>
                  <w:tcBorders>
                    <w:tl2br w:val="nil"/>
                    <w:tr2bl w:val="nil"/>
                  </w:tcBorders>
                  <w:shd w:val="clear" w:color="auto" w:fill="auto"/>
                  <w:vAlign w:val="center"/>
                </w:tcPr>
                <w:p>
                  <w:pPr>
                    <w:jc w:val="center"/>
                    <w:rPr>
                      <w:rFonts w:hint="default" w:ascii="Times New Roman" w:hAnsi="Times New Roman" w:eastAsia="宋体" w:cs="Times New Roman"/>
                      <w:color w:val="FF0000"/>
                      <w:sz w:val="21"/>
                      <w:szCs w:val="21"/>
                      <w:lang w:val="en-US" w:eastAsia="zh-CN"/>
                    </w:rPr>
                  </w:pPr>
                  <w:r>
                    <w:rPr>
                      <w:rFonts w:hint="eastAsia" w:cs="Times New Roman"/>
                      <w:color w:val="FF0000"/>
                      <w:sz w:val="21"/>
                      <w:szCs w:val="21"/>
                      <w:lang w:val="en-US" w:eastAsia="zh-CN"/>
                    </w:rPr>
                    <w:t>50</w:t>
                  </w:r>
                  <w:r>
                    <w:rPr>
                      <w:rFonts w:hint="eastAsia" w:ascii="Times New Roman" w:hAnsi="Times New Roman" w:cs="Times New Roman"/>
                      <w:color w:val="FF0000"/>
                      <w:lang w:val="en-US" w:eastAsia="zh-CN"/>
                    </w:rPr>
                    <w:t>kg</w:t>
                  </w:r>
                </w:p>
              </w:tc>
            </w:tr>
          </w:tbl>
          <w:p>
            <w:pPr>
              <w:keepNext w:val="0"/>
              <w:keepLines w:val="0"/>
              <w:pageBreakBefore w:val="0"/>
              <w:widowControl w:val="0"/>
              <w:kinsoku/>
              <w:wordWrap/>
              <w:overflowPunct/>
              <w:topLinePunct w:val="0"/>
              <w:autoSpaceDE/>
              <w:autoSpaceDN/>
              <w:bidi w:val="0"/>
              <w:adjustRightInd/>
              <w:snapToGrid/>
              <w:spacing w:line="240" w:lineRule="auto"/>
              <w:ind w:firstLine="482"/>
              <w:jc w:val="center"/>
              <w:textAlignment w:val="auto"/>
              <w:rPr>
                <w:rFonts w:hint="default" w:ascii="Times New Roman" w:hAnsi="Times New Roman" w:eastAsia="宋体" w:cs="Times New Roman"/>
                <w:b/>
                <w:bCs/>
                <w:color w:val="FF0000"/>
                <w:sz w:val="21"/>
                <w:szCs w:val="21"/>
                <w:lang w:val="en-US" w:eastAsia="zh-CN"/>
              </w:rPr>
            </w:pPr>
            <w:r>
              <w:rPr>
                <w:rFonts w:hint="default" w:ascii="Times New Roman" w:hAnsi="Times New Roman" w:cs="Times New Roman"/>
                <w:b/>
                <w:bCs/>
                <w:color w:val="FF0000"/>
                <w:sz w:val="21"/>
                <w:szCs w:val="21"/>
              </w:rPr>
              <w:t>表</w:t>
            </w:r>
            <w:r>
              <w:rPr>
                <w:rFonts w:hint="default" w:ascii="Times New Roman" w:hAnsi="Times New Roman" w:cs="Times New Roman"/>
                <w:b/>
                <w:bCs/>
                <w:color w:val="FF0000"/>
                <w:sz w:val="21"/>
                <w:szCs w:val="21"/>
                <w:lang w:val="en-US" w:eastAsia="zh-CN"/>
              </w:rPr>
              <w:t>2-</w:t>
            </w:r>
            <w:r>
              <w:rPr>
                <w:rFonts w:hint="eastAsia" w:cs="Times New Roman"/>
                <w:b/>
                <w:bCs/>
                <w:color w:val="FF0000"/>
                <w:sz w:val="21"/>
                <w:szCs w:val="21"/>
                <w:lang w:val="en-US" w:eastAsia="zh-CN"/>
              </w:rPr>
              <w:t>4</w:t>
            </w:r>
            <w:r>
              <w:rPr>
                <w:rFonts w:hint="default" w:ascii="Times New Roman" w:hAnsi="Times New Roman" w:cs="Times New Roman"/>
                <w:b/>
                <w:bCs/>
                <w:color w:val="FF0000"/>
                <w:sz w:val="21"/>
                <w:szCs w:val="21"/>
              </w:rPr>
              <w:t xml:space="preserve"> </w:t>
            </w:r>
            <w:r>
              <w:rPr>
                <w:rFonts w:hint="default" w:ascii="Times New Roman" w:hAnsi="Times New Roman" w:eastAsia="宋体" w:cs="Times New Roman"/>
                <w:b/>
                <w:bCs/>
                <w:color w:val="FF0000"/>
                <w:sz w:val="21"/>
                <w:szCs w:val="21"/>
                <w:lang w:val="en-US" w:eastAsia="zh-CN"/>
              </w:rPr>
              <w:t>项目</w:t>
            </w:r>
            <w:r>
              <w:rPr>
                <w:rFonts w:hint="eastAsia"/>
                <w:b/>
                <w:color w:val="FF0000"/>
              </w:rPr>
              <w:t>X</w:t>
            </w:r>
            <w:r>
              <w:rPr>
                <w:b/>
                <w:color w:val="FF0000"/>
              </w:rPr>
              <w:t>R</w:t>
            </w:r>
            <w:r>
              <w:rPr>
                <w:rFonts w:hint="eastAsia"/>
                <w:b/>
                <w:color w:val="FF0000"/>
              </w:rPr>
              <w:t>光学模组</w:t>
            </w:r>
            <w:r>
              <w:rPr>
                <w:rFonts w:hint="eastAsia"/>
                <w:b/>
                <w:color w:val="FF0000"/>
                <w:lang w:val="en-US" w:eastAsia="zh-CN"/>
              </w:rPr>
              <w:t>产品</w:t>
            </w:r>
            <w:r>
              <w:rPr>
                <w:rFonts w:hint="default" w:ascii="Times New Roman" w:hAnsi="Times New Roman" w:eastAsia="宋体" w:cs="Times New Roman"/>
                <w:b/>
                <w:bCs/>
                <w:color w:val="FF0000"/>
                <w:sz w:val="21"/>
                <w:szCs w:val="21"/>
                <w:lang w:val="en-US" w:eastAsia="zh-CN"/>
              </w:rPr>
              <w:t>原辅材料用量汇总表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776"/>
              <w:gridCol w:w="1701"/>
              <w:gridCol w:w="2157"/>
              <w:gridCol w:w="1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rPr>
                  </w:pPr>
                  <w:r>
                    <w:rPr>
                      <w:rFonts w:hint="default" w:ascii="Times New Roman" w:hAnsi="Times New Roman" w:cs="Times New Roman"/>
                      <w:b/>
                      <w:color w:val="FF0000"/>
                    </w:rPr>
                    <w:t>序号</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rPr>
                  </w:pPr>
                  <w:r>
                    <w:rPr>
                      <w:rFonts w:hint="default" w:ascii="Times New Roman" w:hAnsi="Times New Roman" w:cs="Times New Roman"/>
                      <w:b/>
                      <w:color w:val="FF0000"/>
                    </w:rPr>
                    <w:t>名称</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rPr>
                  </w:pPr>
                  <w:r>
                    <w:rPr>
                      <w:rFonts w:hint="default" w:ascii="Times New Roman" w:hAnsi="Times New Roman" w:cs="Times New Roman"/>
                      <w:b/>
                      <w:color w:val="FF0000"/>
                    </w:rPr>
                    <w:t>年用量</w:t>
                  </w:r>
                </w:p>
              </w:tc>
              <w:tc>
                <w:tcPr>
                  <w:tcW w:w="139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FF0000"/>
                      <w:lang w:val="en-US" w:eastAsia="zh-CN"/>
                    </w:rPr>
                  </w:pPr>
                  <w:r>
                    <w:rPr>
                      <w:rFonts w:hint="default" w:ascii="Times New Roman" w:hAnsi="Times New Roman" w:cs="Times New Roman" w:eastAsiaTheme="majorEastAsia"/>
                      <w:b/>
                      <w:color w:val="FF0000"/>
                      <w:sz w:val="21"/>
                      <w:szCs w:val="21"/>
                      <w:lang w:val="en-US" w:eastAsia="zh-CN"/>
                    </w:rPr>
                    <w:t>包装方式及规格</w:t>
                  </w:r>
                </w:p>
              </w:tc>
              <w:tc>
                <w:tcPr>
                  <w:tcW w:w="1399" w:type="dxa"/>
                  <w:vAlign w:val="center"/>
                </w:tcPr>
                <w:p>
                  <w:pPr>
                    <w:jc w:val="center"/>
                    <w:rPr>
                      <w:rFonts w:hint="default" w:ascii="Times New Roman" w:hAnsi="Times New Roman" w:eastAsia="宋体" w:cs="Times New Roman"/>
                      <w:b/>
                      <w:color w:val="FF0000"/>
                      <w:lang w:val="en-US" w:eastAsia="zh-CN"/>
                    </w:rPr>
                  </w:pPr>
                  <w:r>
                    <w:rPr>
                      <w:rFonts w:hint="eastAsia" w:cs="Times New Roman" w:eastAsiaTheme="majorEastAsia"/>
                      <w:b/>
                      <w:color w:val="FF0000"/>
                      <w:sz w:val="21"/>
                      <w:szCs w:val="21"/>
                      <w:lang w:val="en-US" w:eastAsia="zh-CN"/>
                    </w:rPr>
                    <w:t>最大存储量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结构塑胶成型件</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szCs w:val="21"/>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eastAsia="宋体" w:cs="Times New Roman"/>
                      <w:color w:val="FF0000"/>
                      <w:lang w:eastAsia="zh-CN"/>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2</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结构金属成型件</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cs="Times New Roman"/>
                      <w:color w:val="FF0000"/>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3</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光学玻璃</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cs="Times New Roman"/>
                      <w:color w:val="FF0000"/>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4</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电路板</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10万套</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箱装</w:t>
                  </w:r>
                </w:p>
              </w:tc>
              <w:tc>
                <w:tcPr>
                  <w:tcW w:w="1399" w:type="dxa"/>
                  <w:vAlign w:val="center"/>
                </w:tcPr>
                <w:p>
                  <w:pPr>
                    <w:jc w:val="center"/>
                    <w:rPr>
                      <w:rFonts w:hint="default" w:ascii="Times New Roman" w:hAnsi="Times New Roman" w:cs="Times New Roman"/>
                      <w:color w:val="FF0000"/>
                    </w:rPr>
                  </w:pPr>
                  <w:r>
                    <w:rPr>
                      <w:rFonts w:hint="eastAsia" w:cs="Times New Roman"/>
                      <w:color w:val="FF0000"/>
                      <w:sz w:val="21"/>
                      <w:szCs w:val="21"/>
                      <w:lang w:val="en-US" w:eastAsia="zh-CN"/>
                    </w:rPr>
                    <w:t>25000</w:t>
                  </w:r>
                  <w:r>
                    <w:rPr>
                      <w:rFonts w:hint="default" w:ascii="Times New Roman" w:hAnsi="Times New Roman" w:cs="Times New Roman"/>
                      <w:color w:val="FF0000"/>
                      <w:sz w:val="21"/>
                      <w:szCs w:val="21"/>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5</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酒精</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FF0000"/>
                      <w:lang w:eastAsia="zh-CN"/>
                    </w:rPr>
                  </w:pPr>
                  <w:r>
                    <w:rPr>
                      <w:rFonts w:hint="eastAsia" w:cs="Times New Roman"/>
                      <w:color w:val="FF0000"/>
                      <w:lang w:val="en-US" w:eastAsia="zh-CN"/>
                    </w:rPr>
                    <w:t>1000</w:t>
                  </w:r>
                  <w:r>
                    <w:rPr>
                      <w:rFonts w:hint="eastAsia" w:ascii="Times New Roman" w:hAnsi="Times New Roman" w:cs="Times New Roman"/>
                      <w:color w:val="FF0000"/>
                      <w:lang w:val="en-US" w:eastAsia="zh-CN"/>
                    </w:rPr>
                    <w:t>kg</w:t>
                  </w:r>
                  <w:r>
                    <w:rPr>
                      <w:rFonts w:hint="default" w:ascii="Times New Roman" w:hAnsi="Times New Roman" w:cs="Times New Roman"/>
                      <w:color w:val="FF0000"/>
                    </w:rPr>
                    <w:t>/</w:t>
                  </w:r>
                  <w:r>
                    <w:rPr>
                      <w:rFonts w:hint="eastAsia" w:ascii="Times New Roman" w:hAnsi="Times New Roman" w:cs="Times New Roman"/>
                      <w:color w:val="FF0000"/>
                      <w:lang w:val="en-US" w:eastAsia="zh-CN"/>
                    </w:rPr>
                    <w:t>a</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ascii="Times New Roman" w:hAnsi="Times New Roman" w:eastAsia="宋体" w:cs="Times New Roman"/>
                      <w:color w:val="FF0000"/>
                      <w:sz w:val="21"/>
                      <w:szCs w:val="21"/>
                      <w:lang w:val="en-US" w:eastAsia="zh-CN"/>
                    </w:rPr>
                    <w:t>500ml/瓶</w:t>
                  </w:r>
                </w:p>
              </w:tc>
              <w:tc>
                <w:tcPr>
                  <w:tcW w:w="1399" w:type="dxa"/>
                  <w:vAlign w:val="center"/>
                </w:tcPr>
                <w:p>
                  <w:pPr>
                    <w:jc w:val="center"/>
                    <w:rPr>
                      <w:rFonts w:hint="default" w:ascii="Times New Roman" w:hAnsi="Times New Roman" w:eastAsia="宋体" w:cs="Times New Roman"/>
                      <w:color w:val="FF0000"/>
                      <w:lang w:eastAsia="zh-CN"/>
                    </w:rPr>
                  </w:pPr>
                  <w:r>
                    <w:rPr>
                      <w:rFonts w:hint="eastAsia" w:ascii="Times New Roman" w:hAnsi="Times New Roman" w:cs="Times New Roman"/>
                      <w:color w:val="FF0000"/>
                      <w:lang w:val="en-US" w:eastAsia="zh-CN"/>
                    </w:rPr>
                    <w:t>200kg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6</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紫外光胶</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eastAsia" w:cs="Times New Roman"/>
                      <w:color w:val="FF0000"/>
                      <w:lang w:val="en-US" w:eastAsia="zh-CN"/>
                    </w:rPr>
                    <w:t>100</w:t>
                  </w:r>
                  <w:r>
                    <w:rPr>
                      <w:rFonts w:hint="eastAsia" w:ascii="Times New Roman" w:hAnsi="Times New Roman" w:cs="Times New Roman"/>
                      <w:color w:val="FF0000"/>
                      <w:lang w:val="en-US" w:eastAsia="zh-CN"/>
                    </w:rPr>
                    <w:t>kg</w:t>
                  </w:r>
                  <w:r>
                    <w:rPr>
                      <w:rFonts w:hint="default" w:ascii="Times New Roman" w:hAnsi="Times New Roman" w:cs="Times New Roman"/>
                      <w:color w:val="FF0000"/>
                    </w:rPr>
                    <w:t>/</w:t>
                  </w:r>
                  <w:r>
                    <w:rPr>
                      <w:rFonts w:hint="eastAsia" w:ascii="Times New Roman" w:hAnsi="Times New Roman" w:cs="Times New Roman"/>
                      <w:color w:val="FF0000"/>
                      <w:lang w:val="en-US" w:eastAsia="zh-CN"/>
                    </w:rPr>
                    <w:t>a</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5</w:t>
                  </w:r>
                  <w:r>
                    <w:rPr>
                      <w:rFonts w:hint="eastAsia" w:ascii="Times New Roman" w:hAnsi="Times New Roman" w:eastAsia="宋体" w:cs="Times New Roman"/>
                      <w:color w:val="FF0000"/>
                      <w:sz w:val="21"/>
                      <w:szCs w:val="21"/>
                      <w:lang w:val="en-US" w:eastAsia="zh-CN"/>
                    </w:rPr>
                    <w:t>0ml/瓶</w:t>
                  </w:r>
                </w:p>
              </w:tc>
              <w:tc>
                <w:tcPr>
                  <w:tcW w:w="1399" w:type="dxa"/>
                  <w:vAlign w:val="center"/>
                </w:tcPr>
                <w:p>
                  <w:pPr>
                    <w:jc w:val="center"/>
                    <w:rPr>
                      <w:rFonts w:hint="default" w:ascii="Times New Roman" w:hAnsi="Times New Roman" w:cs="Times New Roman"/>
                      <w:color w:val="FF0000"/>
                    </w:rPr>
                  </w:pPr>
                  <w:r>
                    <w:rPr>
                      <w:rFonts w:hint="eastAsia" w:ascii="Times New Roman" w:hAnsi="Times New Roman" w:cs="Times New Roman"/>
                      <w:color w:val="FF0000"/>
                      <w:lang w:val="en-US" w:eastAsia="zh-CN"/>
                    </w:rPr>
                    <w:t>25kg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4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FF0000"/>
                      <w:lang w:val="en-US" w:eastAsia="zh-CN"/>
                    </w:rPr>
                  </w:pPr>
                  <w:r>
                    <w:rPr>
                      <w:rFonts w:hint="eastAsia" w:cs="Times New Roman"/>
                      <w:color w:val="FF0000"/>
                      <w:lang w:val="en-US" w:eastAsia="zh-CN"/>
                    </w:rPr>
                    <w:t>7</w:t>
                  </w:r>
                </w:p>
              </w:tc>
              <w:tc>
                <w:tcPr>
                  <w:tcW w:w="115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default" w:ascii="Times New Roman" w:hAnsi="Times New Roman" w:cs="Times New Roman"/>
                      <w:color w:val="FF0000"/>
                    </w:rPr>
                    <w:t>硅胶胶水</w:t>
                  </w:r>
                </w:p>
              </w:tc>
              <w:tc>
                <w:tcPr>
                  <w:tcW w:w="110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rPr>
                  </w:pPr>
                  <w:r>
                    <w:rPr>
                      <w:rFonts w:hint="eastAsia" w:cs="Times New Roman"/>
                      <w:color w:val="FF0000"/>
                      <w:lang w:val="en-US" w:eastAsia="zh-CN"/>
                    </w:rPr>
                    <w:t>400</w:t>
                  </w:r>
                  <w:r>
                    <w:rPr>
                      <w:rFonts w:hint="eastAsia" w:ascii="Times New Roman" w:hAnsi="Times New Roman" w:cs="Times New Roman"/>
                      <w:color w:val="FF0000"/>
                      <w:lang w:val="en-US" w:eastAsia="zh-CN"/>
                    </w:rPr>
                    <w:t>kg</w:t>
                  </w:r>
                  <w:r>
                    <w:rPr>
                      <w:rFonts w:hint="default" w:ascii="Times New Roman" w:hAnsi="Times New Roman" w:cs="Times New Roman"/>
                      <w:color w:val="FF0000"/>
                    </w:rPr>
                    <w:t>/</w:t>
                  </w:r>
                  <w:r>
                    <w:rPr>
                      <w:rFonts w:hint="eastAsia" w:ascii="Times New Roman" w:hAnsi="Times New Roman" w:cs="Times New Roman"/>
                      <w:color w:val="FF0000"/>
                      <w:lang w:val="en-US" w:eastAsia="zh-CN"/>
                    </w:rPr>
                    <w:t>a</w:t>
                  </w:r>
                </w:p>
              </w:tc>
              <w:tc>
                <w:tcPr>
                  <w:tcW w:w="2157" w:type="dxa"/>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sz w:val="21"/>
                      <w:szCs w:val="21"/>
                      <w:lang w:val="en-US" w:eastAsia="zh-CN"/>
                    </w:rPr>
                    <w:t>170g/支</w:t>
                  </w:r>
                </w:p>
              </w:tc>
              <w:tc>
                <w:tcPr>
                  <w:tcW w:w="1399" w:type="dxa"/>
                  <w:vAlign w:val="center"/>
                </w:tcPr>
                <w:p>
                  <w:pPr>
                    <w:jc w:val="center"/>
                    <w:rPr>
                      <w:rFonts w:hint="default" w:ascii="Times New Roman" w:hAnsi="Times New Roman" w:cs="Times New Roman"/>
                      <w:color w:val="FF0000"/>
                    </w:rPr>
                  </w:pPr>
                  <w:r>
                    <w:rPr>
                      <w:rFonts w:hint="eastAsia" w:ascii="Times New Roman" w:hAnsi="Times New Roman" w:cs="Times New Roman"/>
                      <w:color w:val="FF0000"/>
                      <w:lang w:val="en-US" w:eastAsia="zh-CN"/>
                    </w:rPr>
                    <w:t>100kg</w:t>
                  </w:r>
                </w:p>
              </w:tc>
            </w:tr>
          </w:tbl>
          <w:p>
            <w:pPr>
              <w:pStyle w:val="67"/>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left"/>
              <w:textAlignment w:val="auto"/>
              <w:rPr>
                <w:rFonts w:ascii="Times New Roman" w:hAnsi="Times New Roman" w:eastAsia="宋体" w:cs="宋体"/>
                <w:color w:val="auto"/>
                <w:sz w:val="24"/>
                <w:szCs w:val="24"/>
              </w:rPr>
            </w:pPr>
            <w:r>
              <w:rPr>
                <w:rFonts w:hint="eastAsia" w:ascii="Times New Roman" w:hAnsi="Times New Roman" w:eastAsia="宋体" w:cs="宋体"/>
                <w:color w:val="auto"/>
                <w:sz w:val="24"/>
                <w:szCs w:val="24"/>
              </w:rPr>
              <w:t>部分原辅材料理化性质</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b w:val="0"/>
                <w:bCs/>
                <w:color w:val="000000"/>
                <w:kern w:val="2"/>
                <w:sz w:val="24"/>
                <w:szCs w:val="32"/>
                <w:lang w:val="en-US" w:eastAsia="zh-CN" w:bidi="ar-SA"/>
              </w:rPr>
            </w:pPr>
            <w:r>
              <w:rPr>
                <w:rFonts w:hint="default" w:ascii="Times New Roman" w:hAnsi="Times New Roman" w:eastAsia="宋体" w:cs="Times New Roman"/>
                <w:b w:val="0"/>
                <w:bCs/>
                <w:color w:val="000000"/>
                <w:kern w:val="2"/>
                <w:sz w:val="24"/>
                <w:szCs w:val="32"/>
                <w:lang w:val="en-US" w:eastAsia="zh-CN" w:bidi="ar-SA"/>
              </w:rPr>
              <w:t>酒精</w:t>
            </w:r>
            <w:r>
              <w:rPr>
                <w:rFonts w:hint="eastAsia" w:ascii="Times New Roman" w:hAnsi="Times New Roman" w:eastAsia="宋体" w:cs="Times New Roman"/>
                <w:b w:val="0"/>
                <w:bCs/>
                <w:color w:val="000000"/>
                <w:kern w:val="2"/>
                <w:sz w:val="24"/>
                <w:szCs w:val="32"/>
                <w:lang w:val="en-US" w:eastAsia="zh-CN" w:bidi="ar-SA"/>
              </w:rPr>
              <w:t>：是带有一个羟基的饱和一元醇，在常温、常压下是一种易燃、易挥发的无色透明液体，它的水溶液具有酒香的气味，并略带刺激。有酒的气味和刺激的辛辣滋味，微甘。乙醇液体密度0.789g/cm</w:t>
            </w:r>
            <w:r>
              <w:rPr>
                <w:rFonts w:hint="eastAsia" w:ascii="Times New Roman" w:hAnsi="Times New Roman" w:eastAsia="宋体" w:cs="Times New Roman"/>
                <w:b w:val="0"/>
                <w:bCs/>
                <w:color w:val="000000"/>
                <w:kern w:val="2"/>
                <w:sz w:val="24"/>
                <w:szCs w:val="32"/>
                <w:vertAlign w:val="superscript"/>
                <w:lang w:val="en-US" w:eastAsia="zh-CN" w:bidi="ar-SA"/>
              </w:rPr>
              <w:t>3</w:t>
            </w:r>
            <w:r>
              <w:rPr>
                <w:rFonts w:hint="eastAsia" w:cs="Times New Roman"/>
                <w:b w:val="0"/>
                <w:bCs/>
                <w:color w:val="000000"/>
                <w:kern w:val="2"/>
                <w:sz w:val="24"/>
                <w:szCs w:val="32"/>
                <w:lang w:val="en-US" w:eastAsia="zh-CN" w:bidi="ar-SA"/>
              </w:rPr>
              <w:t>（</w:t>
            </w:r>
            <w:r>
              <w:rPr>
                <w:rFonts w:hint="eastAsia" w:ascii="Times New Roman" w:hAnsi="Times New Roman" w:eastAsia="宋体" w:cs="Times New Roman"/>
                <w:b w:val="0"/>
                <w:bCs/>
                <w:color w:val="000000"/>
                <w:kern w:val="2"/>
                <w:sz w:val="24"/>
                <w:szCs w:val="32"/>
                <w:lang w:val="en-US" w:eastAsia="zh-CN" w:bidi="ar-SA"/>
              </w:rPr>
              <w:t>20</w:t>
            </w:r>
            <w:r>
              <w:rPr>
                <w:rFonts w:hint="eastAsia" w:cs="Times New Roman"/>
                <w:b w:val="0"/>
                <w:bCs/>
                <w:color w:val="000000"/>
                <w:kern w:val="2"/>
                <w:sz w:val="24"/>
                <w:szCs w:val="32"/>
                <w:lang w:val="en-US" w:eastAsia="zh-CN" w:bidi="ar-SA"/>
              </w:rPr>
              <w:t>℃）</w:t>
            </w:r>
            <w:r>
              <w:rPr>
                <w:rFonts w:hint="eastAsia" w:ascii="Times New Roman" w:hAnsi="Times New Roman" w:eastAsia="宋体" w:cs="Times New Roman"/>
                <w:b w:val="0"/>
                <w:bCs/>
                <w:color w:val="000000"/>
                <w:kern w:val="2"/>
                <w:sz w:val="24"/>
                <w:szCs w:val="32"/>
                <w:lang w:val="en-US" w:eastAsia="zh-CN" w:bidi="ar-SA"/>
              </w:rPr>
              <w:t>，气体密度为1.59kg/m</w:t>
            </w:r>
            <w:r>
              <w:rPr>
                <w:rFonts w:hint="eastAsia" w:ascii="Times New Roman" w:hAnsi="Times New Roman" w:eastAsia="宋体" w:cs="Times New Roman"/>
                <w:b w:val="0"/>
                <w:bCs/>
                <w:color w:val="000000"/>
                <w:kern w:val="2"/>
                <w:sz w:val="24"/>
                <w:szCs w:val="32"/>
                <w:vertAlign w:val="superscript"/>
                <w:lang w:val="en-US" w:eastAsia="zh-CN" w:bidi="ar-SA"/>
              </w:rPr>
              <w:t>3</w:t>
            </w:r>
            <w:r>
              <w:rPr>
                <w:rFonts w:hint="eastAsia" w:ascii="Times New Roman" w:hAnsi="Times New Roman" w:eastAsia="宋体" w:cs="Times New Roman"/>
                <w:b w:val="0"/>
                <w:bCs/>
                <w:color w:val="000000"/>
                <w:kern w:val="2"/>
                <w:sz w:val="24"/>
                <w:szCs w:val="32"/>
                <w:lang w:val="en-US" w:eastAsia="zh-CN" w:bidi="ar-SA"/>
              </w:rPr>
              <w:t>，沸点是78.3℃，熔点是-114.1℃，易燃，其蒸气能与空气形成爆炸性混合物，能与水以任意比互溶。能与氯仿、乙醚、甲醇、丙酮和其他多数有机溶剂混溶</w:t>
            </w:r>
            <w:r>
              <w:rPr>
                <w:rFonts w:hint="eastAsia" w:cs="Times New Roman"/>
                <w:b w:val="0"/>
                <w:bCs/>
                <w:color w:val="000000"/>
                <w:kern w:val="2"/>
                <w:sz w:val="24"/>
                <w:szCs w:val="32"/>
                <w:lang w:val="en-US" w:eastAsia="zh-CN" w:bidi="ar-SA"/>
              </w:rPr>
              <w:t>。</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b w:val="0"/>
                <w:bCs/>
                <w:color w:val="000000"/>
                <w:kern w:val="2"/>
                <w:sz w:val="24"/>
                <w:szCs w:val="32"/>
                <w:lang w:val="en-US" w:eastAsia="zh-CN" w:bidi="ar-SA"/>
              </w:rPr>
            </w:pPr>
            <w:r>
              <w:rPr>
                <w:rFonts w:hint="eastAsia" w:cs="Times New Roman"/>
                <w:b w:val="0"/>
                <w:bCs/>
                <w:color w:val="000000"/>
                <w:kern w:val="2"/>
                <w:sz w:val="24"/>
                <w:szCs w:val="32"/>
                <w:lang w:val="en-US" w:eastAsia="zh-CN" w:bidi="ar-SA"/>
              </w:rPr>
              <w:t>紫外光胶：即紫外线固化UV胶、光敏胶、无影胶，它是指必须通过紫外线光照射才能固化的一类胶粘剂，它可以作为粘接剂使用，也可作为油漆、涂料、油墨等的胶料使用。UV胶固化原理是UV固化材料中的光引发剂（或光敏剂）在紫外线的照射下吸收紫外光后产生活性自由基或阳离子，引发单体聚合、交联和接支化学反应，使粘合剂在数秒钟内由液态转化为固态。</w:t>
            </w:r>
          </w:p>
          <w:p>
            <w:pPr>
              <w:pStyle w:val="67"/>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s="Times New Roman"/>
                <w:b w:val="0"/>
                <w:bCs/>
                <w:color w:val="FF0000"/>
                <w:kern w:val="2"/>
                <w:sz w:val="24"/>
                <w:szCs w:val="32"/>
                <w:lang w:val="en-US" w:eastAsia="zh-CN" w:bidi="ar-SA"/>
              </w:rPr>
            </w:pPr>
            <w:r>
              <w:rPr>
                <w:rFonts w:hint="eastAsia" w:cs="Times New Roman"/>
                <w:b w:val="0"/>
                <w:bCs/>
                <w:color w:val="000000"/>
                <w:kern w:val="2"/>
                <w:sz w:val="24"/>
                <w:szCs w:val="32"/>
                <w:lang w:val="en-US" w:eastAsia="zh-CN" w:bidi="ar-SA"/>
              </w:rPr>
              <w:t>硅胶胶水：是硅橡胶中一类用于硅胶与硅胶、硅胶与类似塑料粘接的粘合剂，依靠接触被粘接或被密封物表面的水分子或空气中的水分子而固化。</w:t>
            </w:r>
            <w:r>
              <w:rPr>
                <w:rFonts w:hint="eastAsia" w:cs="Times New Roman"/>
                <w:b w:val="0"/>
                <w:bCs/>
                <w:color w:val="FF0000"/>
                <w:kern w:val="2"/>
                <w:sz w:val="24"/>
                <w:szCs w:val="32"/>
                <w:lang w:val="en-US" w:eastAsia="zh-CN" w:bidi="ar-SA"/>
              </w:rPr>
              <w:t>有机硅胶是单组份胶粘剂，只要把胶挤在需要粘接的基材中，不需要特殊处理就会自动发生固化。主要成分是有机硅，交联剂，具有高性能、高强度、柔韧性好、耐水煮等。</w:t>
            </w:r>
          </w:p>
          <w:p>
            <w:pPr>
              <w:pStyle w:val="67"/>
              <w:rPr>
                <w:rFonts w:ascii="Times New Roman" w:hAnsi="Times New Roman" w:eastAsia="宋体" w:cs="宋体"/>
                <w:color w:val="FF0000"/>
              </w:rPr>
            </w:pPr>
            <w:r>
              <w:rPr>
                <w:rFonts w:ascii="Times New Roman" w:hAnsi="Times New Roman" w:eastAsia="宋体" w:cs="宋体"/>
                <w:color w:val="FF0000"/>
              </w:rPr>
              <w:t>表</w:t>
            </w:r>
            <w:r>
              <w:rPr>
                <w:rFonts w:hint="eastAsia" w:ascii="Times New Roman" w:hAnsi="Times New Roman" w:eastAsia="宋体" w:cs="宋体"/>
                <w:color w:val="FF0000"/>
              </w:rPr>
              <w:t>2-</w:t>
            </w:r>
            <w:r>
              <w:rPr>
                <w:rFonts w:hint="eastAsia" w:cs="宋体"/>
                <w:color w:val="FF0000"/>
                <w:lang w:val="en-US" w:eastAsia="zh-CN"/>
              </w:rPr>
              <w:t>5</w:t>
            </w:r>
            <w:r>
              <w:rPr>
                <w:rFonts w:hint="eastAsia" w:ascii="Times New Roman" w:hAnsi="Times New Roman" w:eastAsia="宋体" w:cs="宋体"/>
                <w:color w:val="FF0000"/>
              </w:rPr>
              <w:t xml:space="preserve">  本项目原辅材料成分及VOC</w:t>
            </w:r>
            <w:r>
              <w:rPr>
                <w:rFonts w:hint="eastAsia" w:ascii="Times New Roman" w:hAnsi="Times New Roman" w:eastAsia="宋体" w:cs="宋体"/>
                <w:color w:val="FF0000"/>
                <w:vertAlign w:val="subscript"/>
              </w:rPr>
              <w:t>S</w:t>
            </w:r>
            <w:r>
              <w:rPr>
                <w:rFonts w:hint="eastAsia" w:ascii="Times New Roman" w:hAnsi="Times New Roman" w:eastAsia="宋体" w:cs="宋体"/>
                <w:color w:val="FF0000"/>
              </w:rPr>
              <w:t>含量一览表</w:t>
            </w:r>
          </w:p>
          <w:tbl>
            <w:tblPr>
              <w:tblStyle w:val="2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2200"/>
              <w:gridCol w:w="1275"/>
              <w:gridCol w:w="1263"/>
              <w:gridCol w:w="16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7" w:type="pct"/>
                  <w:tcBorders>
                    <w:bottom w:val="single" w:color="auto" w:sz="12" w:space="0"/>
                  </w:tcBorders>
                  <w:vAlign w:val="center"/>
                </w:tcPr>
                <w:p>
                  <w:pPr>
                    <w:pStyle w:val="69"/>
                    <w:rPr>
                      <w:rFonts w:ascii="Times New Roman" w:hAnsi="Times New Roman" w:eastAsia="宋体" w:cs="宋体"/>
                      <w:b/>
                      <w:bCs/>
                      <w:color w:val="FF0000"/>
                    </w:rPr>
                  </w:pPr>
                  <w:r>
                    <w:rPr>
                      <w:rFonts w:ascii="Times New Roman" w:hAnsi="Times New Roman" w:eastAsia="宋体" w:cs="宋体"/>
                      <w:b/>
                      <w:bCs/>
                      <w:color w:val="FF0000"/>
                    </w:rPr>
                    <w:t>原料名称</w:t>
                  </w:r>
                </w:p>
              </w:tc>
              <w:tc>
                <w:tcPr>
                  <w:tcW w:w="2251" w:type="pct"/>
                  <w:gridSpan w:val="2"/>
                  <w:tcBorders>
                    <w:bottom w:val="single" w:color="auto" w:sz="12" w:space="0"/>
                  </w:tcBorders>
                  <w:vAlign w:val="center"/>
                </w:tcPr>
                <w:p>
                  <w:pPr>
                    <w:pStyle w:val="69"/>
                    <w:rPr>
                      <w:rFonts w:ascii="Times New Roman" w:hAnsi="Times New Roman" w:eastAsia="宋体" w:cs="宋体"/>
                      <w:b/>
                      <w:bCs/>
                      <w:color w:val="FF0000"/>
                    </w:rPr>
                  </w:pPr>
                  <w:r>
                    <w:rPr>
                      <w:rFonts w:hint="eastAsia" w:cs="宋体"/>
                      <w:b/>
                      <w:bCs/>
                      <w:color w:val="FF0000"/>
                      <w:lang w:val="en-US" w:eastAsia="zh-CN"/>
                    </w:rPr>
                    <w:t>主要</w:t>
                  </w:r>
                  <w:r>
                    <w:rPr>
                      <w:rFonts w:ascii="Times New Roman" w:hAnsi="Times New Roman" w:eastAsia="宋体" w:cs="宋体"/>
                      <w:b/>
                      <w:bCs/>
                      <w:color w:val="FF0000"/>
                    </w:rPr>
                    <w:t>成分（%）</w:t>
                  </w:r>
                </w:p>
              </w:tc>
              <w:tc>
                <w:tcPr>
                  <w:tcW w:w="818" w:type="pct"/>
                  <w:tcBorders>
                    <w:bottom w:val="single" w:color="auto" w:sz="12" w:space="0"/>
                  </w:tcBorders>
                  <w:vAlign w:val="center"/>
                </w:tcPr>
                <w:p>
                  <w:pPr>
                    <w:pStyle w:val="69"/>
                    <w:rPr>
                      <w:rFonts w:hint="default" w:ascii="Times New Roman" w:hAnsi="Times New Roman" w:eastAsia="宋体" w:cs="宋体"/>
                      <w:b/>
                      <w:bCs/>
                      <w:color w:val="FF0000"/>
                      <w:lang w:val="en-US" w:eastAsia="zh-CN"/>
                    </w:rPr>
                  </w:pPr>
                  <w:r>
                    <w:rPr>
                      <w:rFonts w:hint="eastAsia" w:cs="宋体"/>
                      <w:b/>
                      <w:bCs/>
                      <w:color w:val="FF0000"/>
                      <w:lang w:val="en-US" w:eastAsia="zh-CN"/>
                    </w:rPr>
                    <w:t>VOC</w:t>
                  </w:r>
                  <w:r>
                    <w:rPr>
                      <w:rFonts w:hint="eastAsia" w:cs="宋体"/>
                      <w:b/>
                      <w:bCs/>
                      <w:color w:val="FF0000"/>
                      <w:vertAlign w:val="subscript"/>
                      <w:lang w:val="en-US" w:eastAsia="zh-CN"/>
                    </w:rPr>
                    <w:t>S</w:t>
                  </w:r>
                  <w:r>
                    <w:rPr>
                      <w:rFonts w:hint="eastAsia" w:cs="宋体"/>
                      <w:b/>
                      <w:bCs/>
                      <w:color w:val="FF0000"/>
                      <w:lang w:val="en-US" w:eastAsia="zh-CN"/>
                    </w:rPr>
                    <w:t>含量</w:t>
                  </w:r>
                </w:p>
              </w:tc>
              <w:tc>
                <w:tcPr>
                  <w:tcW w:w="1062" w:type="pct"/>
                  <w:tcBorders>
                    <w:bottom w:val="single" w:color="auto" w:sz="12" w:space="0"/>
                  </w:tcBorders>
                  <w:vAlign w:val="center"/>
                </w:tcPr>
                <w:p>
                  <w:pPr>
                    <w:pStyle w:val="69"/>
                    <w:rPr>
                      <w:rFonts w:ascii="Times New Roman" w:hAnsi="Times New Roman" w:eastAsia="宋体" w:cs="宋体"/>
                      <w:b/>
                      <w:bCs/>
                      <w:color w:val="FF0000"/>
                    </w:rPr>
                  </w:pPr>
                  <w:r>
                    <w:rPr>
                      <w:rFonts w:hint="eastAsia" w:ascii="Times New Roman" w:hAnsi="Times New Roman" w:eastAsia="宋体" w:cs="宋体"/>
                      <w:b/>
                      <w:bCs/>
                      <w:color w:val="FF0000"/>
                    </w:rPr>
                    <w:t>VOC</w:t>
                  </w:r>
                  <w:r>
                    <w:rPr>
                      <w:rFonts w:hint="eastAsia" w:ascii="Times New Roman" w:hAnsi="Times New Roman" w:eastAsia="宋体" w:cs="宋体"/>
                      <w:b/>
                      <w:bCs/>
                      <w:color w:val="FF0000"/>
                      <w:vertAlign w:val="subscript"/>
                    </w:rPr>
                    <w:t>S</w:t>
                  </w:r>
                  <w:r>
                    <w:rPr>
                      <w:rFonts w:hint="eastAsia" w:ascii="Times New Roman" w:hAnsi="Times New Roman" w:eastAsia="宋体" w:cs="宋体"/>
                      <w:b/>
                      <w:bCs/>
                      <w:color w:val="FF0000"/>
                    </w:rPr>
                    <w:t>含量限值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tcBorders>
                    <w:top w:val="single" w:color="auto" w:sz="12" w:space="0"/>
                    <w:tl2br w:val="nil"/>
                    <w:tr2bl w:val="nil"/>
                  </w:tcBorders>
                  <w:vAlign w:val="center"/>
                </w:tcPr>
                <w:p>
                  <w:pPr>
                    <w:pStyle w:val="69"/>
                    <w:rPr>
                      <w:rFonts w:hint="default" w:ascii="Times New Roman" w:hAnsi="Times New Roman" w:cs="Times New Roman"/>
                      <w:color w:val="FF0000"/>
                    </w:rPr>
                  </w:pPr>
                  <w:r>
                    <w:rPr>
                      <w:rFonts w:hint="default" w:ascii="Times New Roman" w:hAnsi="Times New Roman" w:cs="Times New Roman"/>
                      <w:color w:val="FF0000"/>
                    </w:rPr>
                    <w:t>酒精</w:t>
                  </w:r>
                </w:p>
              </w:tc>
              <w:tc>
                <w:tcPr>
                  <w:tcW w:w="1425" w:type="pct"/>
                  <w:tcBorders>
                    <w:top w:val="single" w:color="auto" w:sz="12" w:space="0"/>
                    <w:tl2br w:val="nil"/>
                    <w:tr2bl w:val="nil"/>
                  </w:tcBorders>
                  <w:vAlign w:val="center"/>
                </w:tcPr>
                <w:p>
                  <w:pPr>
                    <w:pStyle w:val="69"/>
                    <w:rPr>
                      <w:rFonts w:hint="eastAsia" w:ascii="Times New Roman" w:hAnsi="Times New Roman" w:eastAsia="宋体" w:cs="宋体"/>
                      <w:color w:val="FF0000"/>
                      <w:lang w:val="en-US" w:eastAsia="zh-CN"/>
                    </w:rPr>
                  </w:pPr>
                  <w:r>
                    <w:rPr>
                      <w:rFonts w:hint="eastAsia" w:cs="宋体"/>
                      <w:color w:val="FF0000"/>
                      <w:lang w:val="en-US" w:eastAsia="zh-CN"/>
                    </w:rPr>
                    <w:t>乙醇</w:t>
                  </w:r>
                </w:p>
              </w:tc>
              <w:tc>
                <w:tcPr>
                  <w:tcW w:w="826" w:type="pct"/>
                  <w:tcBorders>
                    <w:top w:val="single" w:color="auto" w:sz="12" w:space="0"/>
                    <w:tl2br w:val="nil"/>
                    <w:tr2bl w:val="nil"/>
                  </w:tcBorders>
                  <w:vAlign w:val="center"/>
                </w:tcPr>
                <w:p>
                  <w:pPr>
                    <w:pStyle w:val="69"/>
                    <w:rPr>
                      <w:rFonts w:hint="default" w:ascii="Times New Roman" w:hAnsi="Times New Roman" w:eastAsia="宋体" w:cs="宋体"/>
                      <w:color w:val="FF0000"/>
                      <w:lang w:val="en-US"/>
                    </w:rPr>
                  </w:pPr>
                  <w:r>
                    <w:rPr>
                      <w:rFonts w:hint="eastAsia" w:cs="宋体"/>
                      <w:color w:val="FF0000"/>
                      <w:lang w:val="en-US" w:eastAsia="zh-CN"/>
                    </w:rPr>
                    <w:t>100</w:t>
                  </w:r>
                </w:p>
              </w:tc>
              <w:tc>
                <w:tcPr>
                  <w:tcW w:w="818" w:type="pct"/>
                  <w:tcBorders>
                    <w:top w:val="single" w:color="auto" w:sz="12" w:space="0"/>
                    <w:tl2br w:val="nil"/>
                    <w:tr2bl w:val="nil"/>
                  </w:tcBorders>
                  <w:vAlign w:val="center"/>
                </w:tcPr>
                <w:p>
                  <w:pPr>
                    <w:pStyle w:val="69"/>
                    <w:rPr>
                      <w:rFonts w:hint="default" w:ascii="Times New Roman" w:hAnsi="Times New Roman" w:eastAsia="宋体" w:cs="宋体"/>
                      <w:color w:val="FF0000"/>
                      <w:lang w:val="en-US" w:eastAsia="zh-CN"/>
                    </w:rPr>
                  </w:pPr>
                  <w:r>
                    <w:rPr>
                      <w:rFonts w:hint="eastAsia" w:cs="宋体"/>
                      <w:color w:val="FF0000"/>
                      <w:lang w:val="en-US" w:eastAsia="zh-CN"/>
                    </w:rPr>
                    <w:t>100%</w:t>
                  </w:r>
                </w:p>
              </w:tc>
              <w:tc>
                <w:tcPr>
                  <w:tcW w:w="1062" w:type="pct"/>
                  <w:tcBorders>
                    <w:top w:val="single" w:color="auto" w:sz="12" w:space="0"/>
                    <w:tl2br w:val="nil"/>
                    <w:tr2bl w:val="nil"/>
                  </w:tcBorders>
                  <w:vAlign w:val="center"/>
                </w:tcPr>
                <w:p>
                  <w:pPr>
                    <w:pStyle w:val="69"/>
                    <w:rPr>
                      <w:rFonts w:hint="eastAsia" w:ascii="Times New Roman" w:hAnsi="Times New Roman" w:eastAsia="宋体" w:cs="宋体"/>
                      <w:color w:val="FF0000"/>
                      <w:lang w:val="en-US" w:eastAsia="zh-CN"/>
                    </w:rPr>
                  </w:pPr>
                  <w:r>
                    <w:rPr>
                      <w:rFonts w:hint="eastAsia" w:cs="宋体"/>
                      <w:color w:val="FF000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restart"/>
                  <w:tcBorders>
                    <w:tl2br w:val="nil"/>
                    <w:tr2bl w:val="nil"/>
                  </w:tcBorders>
                  <w:vAlign w:val="center"/>
                </w:tcPr>
                <w:p>
                  <w:pPr>
                    <w:pStyle w:val="69"/>
                    <w:rPr>
                      <w:rFonts w:hint="default" w:ascii="Times New Roman" w:hAnsi="Times New Roman" w:cs="Times New Roman"/>
                      <w:color w:val="FF0000"/>
                    </w:rPr>
                  </w:pPr>
                  <w:r>
                    <w:rPr>
                      <w:rFonts w:hint="default" w:ascii="Times New Roman" w:hAnsi="Times New Roman" w:cs="Times New Roman"/>
                      <w:color w:val="FF0000"/>
                    </w:rPr>
                    <w:t>紫外光胶</w:t>
                  </w: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聚氨酯丙烯酸酯</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30-60</w:t>
                  </w:r>
                </w:p>
              </w:tc>
              <w:tc>
                <w:tcPr>
                  <w:tcW w:w="818" w:type="pct"/>
                  <w:vMerge w:val="restart"/>
                  <w:tcBorders>
                    <w:tl2br w:val="nil"/>
                    <w:tr2bl w:val="nil"/>
                  </w:tcBorders>
                  <w:vAlign w:val="center"/>
                </w:tcPr>
                <w:p>
                  <w:pPr>
                    <w:pStyle w:val="69"/>
                    <w:rPr>
                      <w:rFonts w:hint="default" w:ascii="Times New Roman" w:hAnsi="Times New Roman" w:eastAsia="宋体" w:cs="宋体"/>
                      <w:color w:val="FF0000"/>
                      <w:lang w:val="en-US" w:eastAsia="zh-CN"/>
                    </w:rPr>
                  </w:pPr>
                  <w:r>
                    <w:rPr>
                      <w:rFonts w:hint="eastAsia" w:cs="宋体"/>
                      <w:color w:val="FF0000"/>
                      <w:lang w:val="en-US" w:eastAsia="zh-CN"/>
                    </w:rPr>
                    <w:t>40%</w:t>
                  </w:r>
                </w:p>
              </w:tc>
              <w:tc>
                <w:tcPr>
                  <w:tcW w:w="1062" w:type="pct"/>
                  <w:vMerge w:val="restart"/>
                  <w:tcBorders>
                    <w:tl2br w:val="nil"/>
                    <w:tr2bl w:val="nil"/>
                  </w:tcBorders>
                  <w:vAlign w:val="center"/>
                </w:tcPr>
                <w:p>
                  <w:pPr>
                    <w:pStyle w:val="69"/>
                    <w:rPr>
                      <w:rFonts w:ascii="Times New Roman" w:hAnsi="Times New Roman" w:eastAsia="宋体" w:cs="宋体"/>
                      <w:color w:val="FF0000"/>
                    </w:rPr>
                  </w:pPr>
                  <w:r>
                    <w:rPr>
                      <w:rFonts w:hint="eastAsia" w:ascii="Times New Roman" w:hAnsi="Times New Roman" w:eastAsia="宋体" w:cs="宋体"/>
                      <w:color w:val="FF0000"/>
                    </w:rPr>
                    <w:t>50g/L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N-丙烯酰吗啉</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30-60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丙烯酸异冰片酯</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10-30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乙氧基乙氧基乙基丙烯酸酯</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5-10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ascii="Times New Roman" w:hAnsi="Times New Roman" w:eastAsia="宋体" w:cs="宋体"/>
                      <w:color w:val="FF0000"/>
                      <w:kern w:val="2"/>
                      <w:sz w:val="21"/>
                      <w:szCs w:val="24"/>
                      <w:lang w:val="en-US" w:eastAsia="zh-CN" w:bidi="ar-SA"/>
                    </w:rPr>
                  </w:pPr>
                  <w:r>
                    <w:rPr>
                      <w:rFonts w:hint="eastAsia" w:ascii="Times New Roman" w:hAnsi="Times New Roman" w:eastAsia="宋体" w:cs="宋体"/>
                      <w:color w:val="FF0000"/>
                    </w:rPr>
                    <w:t>苯基双(2,4,6-三甲基苯甲酰基)氧化膦</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ascii="Times New Roman" w:hAnsi="Times New Roman" w:eastAsia="宋体" w:cs="宋体"/>
                      <w:color w:val="FF0000"/>
                    </w:rPr>
                    <w:t>2-8</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restart"/>
                  <w:tcBorders>
                    <w:tl2br w:val="nil"/>
                    <w:tr2bl w:val="nil"/>
                  </w:tcBorders>
                  <w:vAlign w:val="center"/>
                </w:tcPr>
                <w:p>
                  <w:pPr>
                    <w:pStyle w:val="69"/>
                    <w:rPr>
                      <w:rFonts w:hint="default" w:ascii="Times New Roman" w:hAnsi="Times New Roman" w:cs="Times New Roman"/>
                      <w:color w:val="FF0000"/>
                    </w:rPr>
                  </w:pPr>
                  <w:r>
                    <w:rPr>
                      <w:rFonts w:hint="eastAsia" w:cs="宋体"/>
                      <w:color w:val="FF0000"/>
                      <w:lang w:val="en-US" w:eastAsia="zh-CN"/>
                    </w:rPr>
                    <w:t>硅胶胶水</w:t>
                  </w: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变</w:t>
                  </w:r>
                  <w:r>
                    <w:rPr>
                      <w:rFonts w:hint="eastAsia" w:ascii="Times New Roman" w:hAnsi="Times New Roman" w:eastAsia="宋体" w:cs="宋体"/>
                      <w:color w:val="FF0000"/>
                    </w:rPr>
                    <w:t>性</w:t>
                  </w:r>
                  <w:r>
                    <w:rPr>
                      <w:rFonts w:hint="eastAsia" w:cs="宋体"/>
                      <w:color w:val="FF0000"/>
                      <w:lang w:val="en-US" w:eastAsia="zh-CN"/>
                    </w:rPr>
                    <w:t>硅胶</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60-70</w:t>
                  </w:r>
                </w:p>
              </w:tc>
              <w:tc>
                <w:tcPr>
                  <w:tcW w:w="818" w:type="pct"/>
                  <w:vMerge w:val="restart"/>
                  <w:tcBorders>
                    <w:tl2br w:val="nil"/>
                    <w:tr2bl w:val="nil"/>
                  </w:tcBorders>
                  <w:vAlign w:val="center"/>
                </w:tcPr>
                <w:p>
                  <w:pPr>
                    <w:pStyle w:val="69"/>
                    <w:rPr>
                      <w:rFonts w:hint="default" w:ascii="Times New Roman" w:hAnsi="Times New Roman" w:eastAsia="宋体" w:cs="宋体"/>
                      <w:color w:val="FF0000"/>
                      <w:lang w:val="en-US" w:eastAsia="zh-CN"/>
                    </w:rPr>
                  </w:pPr>
                  <w:r>
                    <w:rPr>
                      <w:rFonts w:hint="eastAsia" w:cs="宋体"/>
                      <w:color w:val="FF0000"/>
                      <w:lang w:val="en-US" w:eastAsia="zh-CN"/>
                    </w:rPr>
                    <w:t>5%</w:t>
                  </w:r>
                </w:p>
              </w:tc>
              <w:tc>
                <w:tcPr>
                  <w:tcW w:w="1062" w:type="pct"/>
                  <w:vMerge w:val="restart"/>
                  <w:tcBorders>
                    <w:tl2br w:val="nil"/>
                    <w:tr2bl w:val="nil"/>
                  </w:tcBorders>
                  <w:vAlign w:val="center"/>
                </w:tcPr>
                <w:p>
                  <w:pPr>
                    <w:pStyle w:val="69"/>
                    <w:rPr>
                      <w:rFonts w:ascii="Times New Roman" w:hAnsi="Times New Roman" w:eastAsia="宋体" w:cs="宋体"/>
                      <w:color w:val="FF0000"/>
                    </w:rPr>
                  </w:pPr>
                  <w:r>
                    <w:rPr>
                      <w:rFonts w:hint="eastAsia" w:ascii="Times New Roman" w:hAnsi="Times New Roman" w:eastAsia="宋体" w:cs="宋体"/>
                      <w:color w:val="FF0000"/>
                    </w:rPr>
                    <w:t>50g/L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蜡</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1-5</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有机锡化合物</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1-5</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无机填充剂</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30-40</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7" w:type="pct"/>
                  <w:vMerge w:val="continue"/>
                  <w:tcBorders>
                    <w:tl2br w:val="nil"/>
                    <w:tr2bl w:val="nil"/>
                  </w:tcBorders>
                  <w:vAlign w:val="center"/>
                </w:tcPr>
                <w:p>
                  <w:pPr>
                    <w:pStyle w:val="69"/>
                    <w:rPr>
                      <w:rFonts w:hint="default" w:ascii="Times New Roman" w:hAnsi="Times New Roman" w:cs="Times New Roman"/>
                      <w:color w:val="FF0000"/>
                    </w:rPr>
                  </w:pPr>
                </w:p>
              </w:tc>
              <w:tc>
                <w:tcPr>
                  <w:tcW w:w="1425" w:type="pct"/>
                  <w:tcBorders>
                    <w:tl2br w:val="nil"/>
                    <w:tr2bl w:val="nil"/>
                  </w:tcBorders>
                  <w:vAlign w:val="center"/>
                </w:tcPr>
                <w:p>
                  <w:pPr>
                    <w:pStyle w:val="69"/>
                    <w:rPr>
                      <w:rFonts w:hint="eastAsia" w:ascii="Times New Roman" w:hAnsi="Times New Roman" w:eastAsia="宋体" w:cs="宋体"/>
                      <w:color w:val="FF0000"/>
                      <w:kern w:val="2"/>
                      <w:sz w:val="21"/>
                      <w:szCs w:val="24"/>
                      <w:lang w:val="en-US" w:eastAsia="zh-CN" w:bidi="ar-SA"/>
                    </w:rPr>
                  </w:pPr>
                  <w:r>
                    <w:rPr>
                      <w:rFonts w:hint="eastAsia" w:cs="宋体"/>
                      <w:color w:val="FF0000"/>
                      <w:lang w:val="en-US" w:eastAsia="zh-CN"/>
                    </w:rPr>
                    <w:t>碳黑</w:t>
                  </w:r>
                </w:p>
              </w:tc>
              <w:tc>
                <w:tcPr>
                  <w:tcW w:w="826" w:type="pct"/>
                  <w:tcBorders>
                    <w:tl2br w:val="nil"/>
                    <w:tr2bl w:val="nil"/>
                  </w:tcBorders>
                  <w:vAlign w:val="center"/>
                </w:tcPr>
                <w:p>
                  <w:pPr>
                    <w:pStyle w:val="69"/>
                    <w:rPr>
                      <w:rFonts w:hint="eastAsia" w:ascii="Times New Roman" w:hAnsi="Times New Roman" w:eastAsia="宋体" w:cs="宋体"/>
                      <w:color w:val="FF0000"/>
                    </w:rPr>
                  </w:pPr>
                  <w:r>
                    <w:rPr>
                      <w:rFonts w:hint="eastAsia" w:cs="宋体"/>
                      <w:color w:val="FF0000"/>
                      <w:lang w:val="en-US" w:eastAsia="zh-CN"/>
                    </w:rPr>
                    <w:t>0.1-1</w:t>
                  </w:r>
                </w:p>
              </w:tc>
              <w:tc>
                <w:tcPr>
                  <w:tcW w:w="818" w:type="pct"/>
                  <w:vMerge w:val="continue"/>
                  <w:tcBorders>
                    <w:tl2br w:val="nil"/>
                    <w:tr2bl w:val="nil"/>
                  </w:tcBorders>
                  <w:vAlign w:val="center"/>
                </w:tcPr>
                <w:p>
                  <w:pPr>
                    <w:pStyle w:val="69"/>
                    <w:rPr>
                      <w:rFonts w:ascii="Times New Roman" w:hAnsi="Times New Roman" w:eastAsia="宋体" w:cs="宋体"/>
                      <w:color w:val="FF0000"/>
                    </w:rPr>
                  </w:pPr>
                </w:p>
              </w:tc>
              <w:tc>
                <w:tcPr>
                  <w:tcW w:w="1062" w:type="pct"/>
                  <w:vMerge w:val="continue"/>
                  <w:tcBorders>
                    <w:tl2br w:val="nil"/>
                    <w:tr2bl w:val="nil"/>
                  </w:tcBorders>
                  <w:vAlign w:val="center"/>
                </w:tcPr>
                <w:p>
                  <w:pPr>
                    <w:pStyle w:val="69"/>
                    <w:rPr>
                      <w:rFonts w:ascii="Times New Roman" w:hAnsi="Times New Roman" w:eastAsia="宋体" w:cs="宋体"/>
                      <w:color w:val="FF0000"/>
                    </w:rPr>
                  </w:pPr>
                </w:p>
              </w:tc>
            </w:tr>
          </w:tbl>
          <w:p>
            <w:pPr>
              <w:adjustRightInd w:val="0"/>
              <w:snapToGrid w:val="0"/>
              <w:spacing w:line="360" w:lineRule="auto"/>
              <w:ind w:firstLine="422" w:firstLineChars="200"/>
              <w:jc w:val="both"/>
              <w:rPr>
                <w:rFonts w:hint="eastAsia" w:cs="宋体"/>
                <w:color w:val="auto"/>
                <w:kern w:val="2"/>
                <w:sz w:val="21"/>
                <w:szCs w:val="24"/>
                <w:lang w:val="en-US" w:eastAsia="zh-CN" w:bidi="ar-SA"/>
              </w:rPr>
            </w:pPr>
            <w:r>
              <w:rPr>
                <w:rFonts w:hint="eastAsia" w:ascii="Times New Roman" w:hAnsi="Times New Roman" w:eastAsia="宋体" w:cs="宋体"/>
                <w:b/>
                <w:bCs/>
                <w:color w:val="auto"/>
                <w:kern w:val="2"/>
                <w:sz w:val="21"/>
                <w:szCs w:val="24"/>
                <w:lang w:val="en-US" w:eastAsia="zh-CN" w:bidi="ar-SA"/>
              </w:rPr>
              <w:t>注：</w:t>
            </w:r>
            <w:r>
              <w:rPr>
                <w:rFonts w:hint="eastAsia" w:cs="宋体"/>
                <w:b/>
                <w:bCs/>
                <w:color w:val="auto"/>
                <w:kern w:val="2"/>
                <w:sz w:val="21"/>
                <w:szCs w:val="24"/>
                <w:lang w:val="en-US" w:eastAsia="zh-CN" w:bidi="ar-SA"/>
              </w:rPr>
              <w:t>胶水成分比例来源于企业提供的原料MSDS报告（附件七），</w:t>
            </w:r>
            <w:r>
              <w:rPr>
                <w:rFonts w:hint="eastAsia" w:ascii="Times New Roman" w:hAnsi="Times New Roman" w:eastAsia="宋体" w:cs="宋体"/>
                <w:b/>
                <w:bCs/>
                <w:color w:val="auto"/>
                <w:kern w:val="2"/>
                <w:sz w:val="21"/>
                <w:szCs w:val="24"/>
                <w:lang w:val="en-US" w:eastAsia="zh-CN" w:bidi="ar-SA"/>
              </w:rPr>
              <w:t>VOC</w:t>
            </w:r>
            <w:r>
              <w:rPr>
                <w:rFonts w:hint="eastAsia" w:cs="宋体"/>
                <w:b/>
                <w:bCs/>
                <w:color w:val="auto"/>
                <w:kern w:val="2"/>
                <w:sz w:val="21"/>
                <w:szCs w:val="24"/>
                <w:vertAlign w:val="subscript"/>
                <w:lang w:val="en-US" w:eastAsia="zh-CN" w:bidi="ar-SA"/>
              </w:rPr>
              <w:t>S</w:t>
            </w:r>
            <w:r>
              <w:rPr>
                <w:rFonts w:hint="eastAsia" w:cs="宋体"/>
                <w:b/>
                <w:bCs/>
                <w:color w:val="auto"/>
                <w:kern w:val="2"/>
                <w:sz w:val="21"/>
                <w:szCs w:val="24"/>
                <w:vertAlign w:val="baseline"/>
                <w:lang w:val="en-US" w:eastAsia="zh-CN" w:bidi="ar-SA"/>
              </w:rPr>
              <w:t>含量限值</w:t>
            </w:r>
            <w:r>
              <w:rPr>
                <w:rFonts w:hint="eastAsia" w:cs="宋体"/>
                <w:b/>
                <w:bCs/>
                <w:color w:val="auto"/>
                <w:kern w:val="2"/>
                <w:sz w:val="21"/>
                <w:szCs w:val="24"/>
                <w:lang w:val="en-US" w:eastAsia="zh-CN" w:bidi="ar-SA"/>
              </w:rPr>
              <w:t>来源于</w:t>
            </w:r>
            <w:r>
              <w:rPr>
                <w:rFonts w:hint="eastAsia" w:ascii="Times New Roman" w:hAnsi="Times New Roman" w:eastAsia="宋体" w:cs="宋体"/>
                <w:b/>
                <w:bCs/>
                <w:color w:val="auto"/>
                <w:kern w:val="2"/>
                <w:sz w:val="21"/>
                <w:szCs w:val="24"/>
                <w:lang w:val="en-US" w:eastAsia="zh-CN" w:bidi="ar-SA"/>
              </w:rPr>
              <w:t>《胶粘剂挥发性有机化合物限量》（GB33372-2020）</w:t>
            </w:r>
            <w:r>
              <w:rPr>
                <w:rFonts w:hint="eastAsia" w:cs="宋体"/>
                <w:color w:val="auto"/>
                <w:kern w:val="2"/>
                <w:sz w:val="21"/>
                <w:szCs w:val="24"/>
                <w:lang w:val="en-US" w:eastAsia="zh-CN" w:bidi="ar-SA"/>
              </w:rPr>
              <w:t>。</w:t>
            </w:r>
          </w:p>
          <w:p>
            <w:pPr>
              <w:pStyle w:val="4"/>
              <w:keepLines w:val="0"/>
              <w:numPr>
                <w:ilvl w:val="1"/>
                <w:numId w:val="0"/>
              </w:numPr>
              <w:tabs>
                <w:tab w:val="left" w:pos="720"/>
              </w:tabs>
              <w:spacing w:before="0" w:after="0" w:line="240" w:lineRule="auto"/>
              <w:jc w:val="center"/>
              <w:rPr>
                <w:rFonts w:ascii="Times New Roman" w:hAnsi="Times New Roman" w:eastAsia="宋体"/>
                <w:b/>
                <w:bCs/>
                <w:color w:val="FF0000"/>
                <w:kern w:val="0"/>
                <w:sz w:val="21"/>
                <w:szCs w:val="21"/>
              </w:rPr>
            </w:pPr>
            <w:bookmarkStart w:id="16" w:name="_Toc8322"/>
            <w:r>
              <w:rPr>
                <w:rFonts w:ascii="Times New Roman" w:hAnsi="Times New Roman" w:eastAsia="宋体"/>
                <w:b/>
                <w:bCs/>
                <w:color w:val="FF0000"/>
                <w:sz w:val="21"/>
                <w:szCs w:val="21"/>
              </w:rPr>
              <w:t>表</w:t>
            </w:r>
            <w:r>
              <w:rPr>
                <w:rFonts w:hint="eastAsia"/>
                <w:b/>
                <w:bCs/>
                <w:color w:val="FF0000"/>
                <w:sz w:val="21"/>
                <w:szCs w:val="21"/>
                <w:lang w:val="en-US" w:eastAsia="zh-CN"/>
              </w:rPr>
              <w:t>2-6</w:t>
            </w:r>
            <w:r>
              <w:rPr>
                <w:rFonts w:ascii="Times New Roman" w:hAnsi="Times New Roman" w:eastAsia="宋体"/>
                <w:b/>
                <w:bCs/>
                <w:color w:val="FF0000"/>
                <w:sz w:val="21"/>
                <w:szCs w:val="21"/>
              </w:rPr>
              <w:t xml:space="preserve">  项目</w:t>
            </w:r>
            <w:r>
              <w:rPr>
                <w:rFonts w:hint="eastAsia" w:ascii="Times New Roman" w:hAnsi="Times New Roman" w:cs="Times New Roman"/>
                <w:b/>
                <w:bCs/>
                <w:color w:val="FF0000"/>
                <w:sz w:val="21"/>
                <w:szCs w:val="21"/>
                <w:highlight w:val="none"/>
                <w:lang w:val="en-US" w:eastAsia="zh-CN"/>
              </w:rPr>
              <w:t>VOC</w:t>
            </w:r>
            <w:r>
              <w:rPr>
                <w:rFonts w:hint="eastAsia" w:cs="Times New Roman"/>
                <w:b/>
                <w:bCs/>
                <w:color w:val="FF0000"/>
                <w:sz w:val="21"/>
                <w:szCs w:val="21"/>
                <w:highlight w:val="none"/>
                <w:vertAlign w:val="subscript"/>
                <w:lang w:val="en-US" w:eastAsia="zh-CN"/>
              </w:rPr>
              <w:t>S</w:t>
            </w:r>
            <w:r>
              <w:rPr>
                <w:rFonts w:ascii="Times New Roman" w:hAnsi="Times New Roman" w:eastAsia="宋体"/>
                <w:b/>
                <w:bCs/>
                <w:color w:val="FF0000"/>
                <w:sz w:val="21"/>
                <w:szCs w:val="21"/>
              </w:rPr>
              <w:t>平衡表     单位：t/a</w:t>
            </w:r>
            <w:bookmarkEnd w:id="16"/>
          </w:p>
          <w:tbl>
            <w:tblPr>
              <w:tblStyle w:val="2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691"/>
              <w:gridCol w:w="800"/>
              <w:gridCol w:w="869"/>
              <w:gridCol w:w="732"/>
              <w:gridCol w:w="835"/>
              <w:gridCol w:w="959"/>
              <w:gridCol w:w="911"/>
              <w:gridCol w:w="8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215" w:type="pct"/>
                  <w:gridSpan w:val="4"/>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投入</w:t>
                  </w:r>
                </w:p>
              </w:tc>
              <w:tc>
                <w:tcPr>
                  <w:tcW w:w="2784" w:type="pct"/>
                  <w:gridSpan w:val="5"/>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产出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86"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物料</w:t>
                  </w:r>
                </w:p>
              </w:tc>
              <w:tc>
                <w:tcPr>
                  <w:tcW w:w="448"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用量</w:t>
                  </w:r>
                </w:p>
              </w:tc>
              <w:tc>
                <w:tcPr>
                  <w:tcW w:w="518"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组分</w:t>
                  </w:r>
                </w:p>
              </w:tc>
              <w:tc>
                <w:tcPr>
                  <w:tcW w:w="562"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含量</w:t>
                  </w:r>
                </w:p>
              </w:tc>
              <w:tc>
                <w:tcPr>
                  <w:tcW w:w="474"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产物</w:t>
                  </w:r>
                </w:p>
              </w:tc>
              <w:tc>
                <w:tcPr>
                  <w:tcW w:w="1162" w:type="pct"/>
                  <w:gridSpan w:val="2"/>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形式</w:t>
                  </w:r>
                </w:p>
              </w:tc>
              <w:tc>
                <w:tcPr>
                  <w:tcW w:w="590"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排放量</w:t>
                  </w:r>
                </w:p>
              </w:tc>
              <w:tc>
                <w:tcPr>
                  <w:tcW w:w="557" w:type="pct"/>
                  <w:noWrap w:val="0"/>
                  <w:vAlign w:val="center"/>
                </w:tcPr>
                <w:p>
                  <w:pPr>
                    <w:snapToGrid w:val="0"/>
                    <w:jc w:val="center"/>
                    <w:rPr>
                      <w:rFonts w:hint="default" w:ascii="Times New Roman" w:hAnsi="Times New Roman" w:cs="Times New Roman"/>
                      <w:b/>
                      <w:bCs/>
                      <w:color w:val="FF0000"/>
                      <w:szCs w:val="21"/>
                    </w:rPr>
                  </w:pPr>
                  <w:r>
                    <w:rPr>
                      <w:rFonts w:hint="default" w:ascii="Times New Roman" w:hAnsi="Times New Roman" w:cs="Times New Roman"/>
                      <w:b/>
                      <w:bCs/>
                      <w:color w:val="FF0000"/>
                      <w:szCs w:val="21"/>
                    </w:rPr>
                    <w:t>削减量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86" w:type="pct"/>
                  <w:vMerge w:val="restart"/>
                  <w:noWrap w:val="0"/>
                  <w:vAlign w:val="center"/>
                </w:tcPr>
                <w:p>
                  <w:pPr>
                    <w:snapToGrid w:val="0"/>
                    <w:jc w:val="center"/>
                    <w:rPr>
                      <w:rFonts w:hint="default" w:ascii="Times New Roman" w:hAnsi="Times New Roman" w:cs="Times New Roman"/>
                      <w:color w:val="FF0000"/>
                      <w:szCs w:val="21"/>
                    </w:rPr>
                  </w:pPr>
                  <w:r>
                    <w:rPr>
                      <w:rFonts w:hint="eastAsia" w:cs="Times New Roman"/>
                      <w:color w:val="FF0000"/>
                      <w:szCs w:val="21"/>
                      <w:lang w:val="en-US" w:eastAsia="zh-CN"/>
                    </w:rPr>
                    <w:t>紫外光胶+</w:t>
                  </w:r>
                  <w:r>
                    <w:rPr>
                      <w:rFonts w:hint="eastAsia" w:cs="宋体"/>
                      <w:color w:val="FF0000"/>
                      <w:lang w:val="en-US" w:eastAsia="zh-CN"/>
                    </w:rPr>
                    <w:t>硅胶胶水+酒精</w:t>
                  </w:r>
                </w:p>
              </w:tc>
              <w:tc>
                <w:tcPr>
                  <w:tcW w:w="448" w:type="pct"/>
                  <w:vMerge w:val="restart"/>
                  <w:noWrap w:val="0"/>
                  <w:vAlign w:val="center"/>
                </w:tcPr>
                <w:p>
                  <w:pPr>
                    <w:adjustRightInd w:val="0"/>
                    <w:snapToGrid w:val="0"/>
                    <w:jc w:val="center"/>
                    <w:rPr>
                      <w:rFonts w:hint="default" w:ascii="Times New Roman" w:hAnsi="Times New Roman" w:cs="Times New Roman"/>
                      <w:color w:val="FF0000"/>
                      <w:szCs w:val="21"/>
                    </w:rPr>
                  </w:pPr>
                  <w:r>
                    <w:rPr>
                      <w:rFonts w:hint="eastAsia" w:cs="Times New Roman"/>
                      <w:color w:val="FF0000"/>
                      <w:szCs w:val="21"/>
                      <w:lang w:val="en-US" w:eastAsia="zh-CN"/>
                    </w:rPr>
                    <w:t>2.59</w:t>
                  </w:r>
                </w:p>
              </w:tc>
              <w:tc>
                <w:tcPr>
                  <w:tcW w:w="518" w:type="pct"/>
                  <w:noWrap w:val="0"/>
                  <w:vAlign w:val="center"/>
                </w:tcPr>
                <w:p>
                  <w:pPr>
                    <w:snapToGrid w:val="0"/>
                    <w:jc w:val="center"/>
                    <w:rPr>
                      <w:rFonts w:hint="default" w:ascii="Times New Roman" w:hAnsi="Times New Roman" w:eastAsia="宋体" w:cs="Times New Roman"/>
                      <w:color w:val="FF0000"/>
                      <w:kern w:val="2"/>
                      <w:sz w:val="21"/>
                      <w:szCs w:val="21"/>
                      <w:lang w:val="en-US" w:eastAsia="zh-CN" w:bidi="ar-SA"/>
                    </w:rPr>
                  </w:pPr>
                  <w:r>
                    <w:rPr>
                      <w:rFonts w:hint="eastAsia" w:ascii="Times New Roman" w:hAnsi="Times New Roman" w:cs="Times New Roman"/>
                      <w:bCs/>
                      <w:color w:val="FF0000"/>
                      <w:sz w:val="21"/>
                      <w:szCs w:val="21"/>
                      <w:highlight w:val="none"/>
                      <w:lang w:val="en-US" w:eastAsia="zh-CN"/>
                    </w:rPr>
                    <w:t>VOC</w:t>
                  </w:r>
                  <w:r>
                    <w:rPr>
                      <w:rFonts w:hint="eastAsia" w:cs="Times New Roman"/>
                      <w:bCs/>
                      <w:color w:val="FF0000"/>
                      <w:sz w:val="21"/>
                      <w:szCs w:val="21"/>
                      <w:highlight w:val="none"/>
                      <w:vertAlign w:val="subscript"/>
                      <w:lang w:val="en-US" w:eastAsia="zh-CN"/>
                    </w:rPr>
                    <w:t>S</w:t>
                  </w:r>
                </w:p>
              </w:tc>
              <w:tc>
                <w:tcPr>
                  <w:tcW w:w="562" w:type="pct"/>
                  <w:noWrap w:val="0"/>
                  <w:vAlign w:val="center"/>
                </w:tcPr>
                <w:p>
                  <w:pPr>
                    <w:snapToGrid w:val="0"/>
                    <w:jc w:val="center"/>
                    <w:rPr>
                      <w:rFonts w:hint="default" w:ascii="Times New Roman" w:hAnsi="Times New Roman" w:cs="Times New Roman"/>
                      <w:color w:val="FF0000"/>
                      <w:szCs w:val="21"/>
                      <w:lang w:val="en-US" w:eastAsia="zh-CN"/>
                    </w:rPr>
                  </w:pPr>
                  <w:r>
                    <w:rPr>
                      <w:rFonts w:hint="eastAsia" w:cs="Times New Roman"/>
                      <w:color w:val="FF0000"/>
                      <w:szCs w:val="21"/>
                      <w:lang w:val="en-US" w:eastAsia="zh-CN"/>
                    </w:rPr>
                    <w:t>1.886</w:t>
                  </w:r>
                </w:p>
              </w:tc>
              <w:tc>
                <w:tcPr>
                  <w:tcW w:w="474" w:type="pct"/>
                  <w:vMerge w:val="restart"/>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废气</w:t>
                  </w:r>
                </w:p>
              </w:tc>
              <w:tc>
                <w:tcPr>
                  <w:tcW w:w="1162" w:type="pct"/>
                  <w:gridSpan w:val="2"/>
                  <w:noWrap w:val="0"/>
                  <w:vAlign w:val="center"/>
                </w:tcPr>
                <w:p>
                  <w:pPr>
                    <w:snapToGrid w:val="0"/>
                    <w:jc w:val="center"/>
                    <w:rPr>
                      <w:rFonts w:hint="default" w:ascii="Times New Roman" w:hAnsi="Times New Roman" w:cs="Times New Roman"/>
                      <w:color w:val="FF0000"/>
                      <w:szCs w:val="21"/>
                    </w:rPr>
                  </w:pPr>
                  <w:r>
                    <w:rPr>
                      <w:rFonts w:hint="eastAsia" w:cs="Times New Roman"/>
                      <w:color w:val="FF0000"/>
                      <w:szCs w:val="21"/>
                      <w:lang w:val="en-US" w:eastAsia="zh-CN"/>
                    </w:rPr>
                    <w:t>二级</w:t>
                  </w:r>
                  <w:r>
                    <w:rPr>
                      <w:rFonts w:hint="default" w:ascii="Times New Roman" w:hAnsi="Times New Roman" w:cs="Times New Roman"/>
                      <w:color w:val="FF0000"/>
                      <w:szCs w:val="21"/>
                    </w:rPr>
                    <w:t>活性炭吸附</w:t>
                  </w:r>
                </w:p>
              </w:tc>
              <w:tc>
                <w:tcPr>
                  <w:tcW w:w="590" w:type="pct"/>
                  <w:noWrap w:val="0"/>
                  <w:vAlign w:val="center"/>
                </w:tcPr>
                <w:p>
                  <w:pPr>
                    <w:snapToGrid w:val="0"/>
                    <w:jc w:val="center"/>
                    <w:rPr>
                      <w:rFonts w:hint="default" w:ascii="Times New Roman" w:hAnsi="Times New Roman" w:cs="Times New Roman"/>
                      <w:color w:val="FF0000"/>
                      <w:kern w:val="0"/>
                      <w:szCs w:val="21"/>
                      <w:highlight w:val="none"/>
                    </w:rPr>
                  </w:pPr>
                  <w:r>
                    <w:rPr>
                      <w:rFonts w:hint="default" w:ascii="Times New Roman" w:hAnsi="Times New Roman" w:cs="Times New Roman"/>
                      <w:color w:val="FF0000"/>
                      <w:kern w:val="0"/>
                      <w:szCs w:val="21"/>
                      <w:highlight w:val="none"/>
                    </w:rPr>
                    <w:t>/</w:t>
                  </w:r>
                </w:p>
              </w:tc>
              <w:tc>
                <w:tcPr>
                  <w:tcW w:w="557" w:type="pct"/>
                  <w:noWrap w:val="0"/>
                  <w:vAlign w:val="center"/>
                </w:tcPr>
                <w:p>
                  <w:pPr>
                    <w:snapToGrid w:val="0"/>
                    <w:jc w:val="center"/>
                    <w:rPr>
                      <w:rFonts w:hint="default" w:ascii="Times New Roman" w:hAnsi="Times New Roman" w:eastAsia="宋体" w:cs="Times New Roman"/>
                      <w:color w:val="FF0000"/>
                      <w:kern w:val="0"/>
                      <w:szCs w:val="21"/>
                      <w:highlight w:val="none"/>
                      <w:lang w:val="en-US" w:eastAsia="zh-CN"/>
                    </w:rPr>
                  </w:pPr>
                  <w:r>
                    <w:rPr>
                      <w:rFonts w:hint="eastAsia" w:cs="Times New Roman"/>
                      <w:color w:val="FF0000"/>
                      <w:kern w:val="0"/>
                      <w:szCs w:val="21"/>
                      <w:highlight w:val="none"/>
                      <w:lang w:val="en-US" w:eastAsia="zh-CN"/>
                    </w:rPr>
                    <w:t>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86"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448"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518" w:type="pct"/>
                  <w:shd w:val="clear" w:color="auto" w:fill="auto"/>
                  <w:noWrap w:val="0"/>
                  <w:vAlign w:val="center"/>
                </w:tcPr>
                <w:p>
                  <w:pPr>
                    <w:snapToGrid w:val="0"/>
                    <w:jc w:val="center"/>
                    <w:rPr>
                      <w:rFonts w:hint="default" w:ascii="Times New Roman" w:hAnsi="Times New Roman" w:eastAsia="宋体" w:cs="Times New Roman"/>
                      <w:color w:val="FF0000"/>
                      <w:szCs w:val="21"/>
                      <w:lang w:eastAsia="zh-CN"/>
                    </w:rPr>
                  </w:pPr>
                  <w:r>
                    <w:rPr>
                      <w:rFonts w:hint="default" w:ascii="Times New Roman" w:hAnsi="Times New Roman" w:cs="Times New Roman"/>
                      <w:color w:val="FF0000"/>
                      <w:szCs w:val="21"/>
                      <w:lang w:eastAsia="zh-CN"/>
                    </w:rPr>
                    <w:t>固份</w:t>
                  </w:r>
                </w:p>
              </w:tc>
              <w:tc>
                <w:tcPr>
                  <w:tcW w:w="562" w:type="pct"/>
                  <w:shd w:val="clear" w:color="auto" w:fill="auto"/>
                  <w:noWrap w:val="0"/>
                  <w:vAlign w:val="center"/>
                </w:tcPr>
                <w:p>
                  <w:pPr>
                    <w:snapToGrid w:val="0"/>
                    <w:jc w:val="center"/>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0.704</w:t>
                  </w:r>
                </w:p>
              </w:tc>
              <w:tc>
                <w:tcPr>
                  <w:tcW w:w="474"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541" w:type="pct"/>
                  <w:shd w:val="clear" w:color="auto" w:fill="auto"/>
                  <w:noWrap w:val="0"/>
                  <w:vAlign w:val="center"/>
                </w:tcPr>
                <w:p>
                  <w:pPr>
                    <w:snapToGrid w:val="0"/>
                    <w:jc w:val="center"/>
                    <w:rPr>
                      <w:rFonts w:hint="default" w:ascii="Times New Roman" w:hAnsi="Times New Roman" w:cs="Times New Roman"/>
                      <w:color w:val="FF0000"/>
                      <w:szCs w:val="21"/>
                    </w:rPr>
                  </w:pPr>
                  <w:r>
                    <w:rPr>
                      <w:rFonts w:hint="eastAsia" w:ascii="Times New Roman" w:hAnsi="Times New Roman" w:cs="Times New Roman"/>
                      <w:color w:val="FF0000"/>
                      <w:szCs w:val="21"/>
                      <w:lang w:val="en-US" w:eastAsia="zh-CN"/>
                    </w:rPr>
                    <w:t>DA001</w:t>
                  </w:r>
                </w:p>
              </w:tc>
              <w:tc>
                <w:tcPr>
                  <w:tcW w:w="621" w:type="pct"/>
                  <w:shd w:val="clear" w:color="auto" w:fill="auto"/>
                  <w:noWrap w:val="0"/>
                  <w:vAlign w:val="center"/>
                </w:tcPr>
                <w:p>
                  <w:pPr>
                    <w:adjustRightInd w:val="0"/>
                    <w:snapToGrid w:val="0"/>
                    <w:jc w:val="center"/>
                    <w:rPr>
                      <w:rFonts w:hint="default" w:ascii="Times New Roman" w:hAnsi="Times New Roman" w:cs="Times New Roman"/>
                      <w:color w:val="FF0000"/>
                      <w:szCs w:val="21"/>
                    </w:rPr>
                  </w:pPr>
                  <w:r>
                    <w:rPr>
                      <w:rFonts w:hint="eastAsia" w:ascii="Times New Roman" w:hAnsi="Times New Roman" w:cs="Times New Roman"/>
                      <w:bCs/>
                      <w:color w:val="FF0000"/>
                      <w:sz w:val="21"/>
                      <w:szCs w:val="21"/>
                      <w:highlight w:val="none"/>
                      <w:lang w:val="en-US" w:eastAsia="zh-CN"/>
                    </w:rPr>
                    <w:t>VOC</w:t>
                  </w:r>
                  <w:r>
                    <w:rPr>
                      <w:rFonts w:hint="eastAsia" w:cs="Times New Roman"/>
                      <w:bCs/>
                      <w:color w:val="FF0000"/>
                      <w:sz w:val="21"/>
                      <w:szCs w:val="21"/>
                      <w:highlight w:val="none"/>
                      <w:vertAlign w:val="subscript"/>
                      <w:lang w:val="en-US" w:eastAsia="zh-CN"/>
                    </w:rPr>
                    <w:t>S</w:t>
                  </w:r>
                </w:p>
              </w:tc>
              <w:tc>
                <w:tcPr>
                  <w:tcW w:w="590" w:type="pct"/>
                  <w:shd w:val="clear" w:color="000000" w:fill="auto"/>
                  <w:noWrap w:val="0"/>
                  <w:vAlign w:val="center"/>
                </w:tcPr>
                <w:p>
                  <w:pPr>
                    <w:snapToGrid w:val="0"/>
                    <w:jc w:val="center"/>
                    <w:rPr>
                      <w:rFonts w:hint="default" w:ascii="Times New Roman" w:hAnsi="Times New Roman" w:eastAsia="宋体" w:cs="Times New Roman"/>
                      <w:color w:val="FF0000"/>
                      <w:kern w:val="2"/>
                      <w:sz w:val="21"/>
                      <w:szCs w:val="21"/>
                      <w:highlight w:val="none"/>
                      <w:lang w:val="en-US" w:eastAsia="zh-CN" w:bidi="ar-SA"/>
                    </w:rPr>
                  </w:pPr>
                  <w:r>
                    <w:rPr>
                      <w:rFonts w:hint="eastAsia" w:cs="Times New Roman"/>
                      <w:color w:val="FF0000"/>
                      <w:szCs w:val="21"/>
                      <w:highlight w:val="none"/>
                      <w:lang w:val="en-US" w:eastAsia="zh-CN"/>
                    </w:rPr>
                    <w:t>0.526</w:t>
                  </w:r>
                </w:p>
              </w:tc>
              <w:tc>
                <w:tcPr>
                  <w:tcW w:w="557" w:type="pct"/>
                  <w:shd w:val="clear" w:color="000000" w:fill="auto"/>
                  <w:noWrap w:val="0"/>
                  <w:vAlign w:val="center"/>
                </w:tcPr>
                <w:p>
                  <w:pPr>
                    <w:snapToGrid w:val="0"/>
                    <w:jc w:val="center"/>
                    <w:rPr>
                      <w:rFonts w:hint="default" w:ascii="Times New Roman" w:hAnsi="Times New Roman" w:eastAsia="宋体" w:cs="Times New Roman"/>
                      <w:color w:val="FF0000"/>
                      <w:kern w:val="0"/>
                      <w:sz w:val="21"/>
                      <w:szCs w:val="21"/>
                      <w:highlight w:val="none"/>
                      <w:lang w:val="en-US" w:eastAsia="zh-CN" w:bidi="ar-SA"/>
                    </w:rPr>
                  </w:pPr>
                  <w:r>
                    <w:rPr>
                      <w:rFonts w:hint="default" w:ascii="Times New Roman" w:hAnsi="Times New Roman" w:cs="Times New Roman"/>
                      <w:color w:val="FF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86" w:type="pct"/>
                  <w:vMerge w:val="continue"/>
                  <w:shd w:val="clear" w:color="auto" w:fill="auto"/>
                  <w:noWrap w:val="0"/>
                  <w:vAlign w:val="center"/>
                </w:tcPr>
                <w:p>
                  <w:pPr>
                    <w:snapToGrid w:val="0"/>
                    <w:jc w:val="center"/>
                    <w:rPr>
                      <w:rFonts w:hint="default" w:ascii="Times New Roman" w:hAnsi="Times New Roman" w:cs="Times New Roman"/>
                      <w:color w:val="FF0000"/>
                      <w:szCs w:val="21"/>
                    </w:rPr>
                  </w:pPr>
                </w:p>
              </w:tc>
              <w:tc>
                <w:tcPr>
                  <w:tcW w:w="448" w:type="pct"/>
                  <w:vMerge w:val="continue"/>
                  <w:shd w:val="clear" w:color="auto" w:fill="auto"/>
                  <w:noWrap w:val="0"/>
                  <w:vAlign w:val="center"/>
                </w:tcPr>
                <w:p>
                  <w:pPr>
                    <w:adjustRightInd w:val="0"/>
                    <w:snapToGrid w:val="0"/>
                    <w:jc w:val="center"/>
                    <w:rPr>
                      <w:rFonts w:hint="default" w:ascii="Times New Roman" w:hAnsi="Times New Roman" w:cs="Times New Roman"/>
                      <w:color w:val="FF0000"/>
                      <w:szCs w:val="21"/>
                    </w:rPr>
                  </w:pPr>
                </w:p>
              </w:tc>
              <w:tc>
                <w:tcPr>
                  <w:tcW w:w="518" w:type="pct"/>
                  <w:shd w:val="clear" w:color="auto" w:fill="auto"/>
                  <w:noWrap w:val="0"/>
                  <w:vAlign w:val="center"/>
                </w:tcPr>
                <w:p>
                  <w:pPr>
                    <w:snapToGrid w:val="0"/>
                    <w:jc w:val="center"/>
                    <w:rPr>
                      <w:rFonts w:hint="default" w:ascii="Times New Roman" w:hAnsi="Times New Roman" w:eastAsia="宋体" w:cs="Times New Roman"/>
                      <w:color w:val="FF0000"/>
                      <w:szCs w:val="21"/>
                      <w:lang w:val="en-US" w:eastAsia="zh-CN"/>
                    </w:rPr>
                  </w:pPr>
                  <w:r>
                    <w:rPr>
                      <w:rFonts w:hint="default" w:ascii="Times New Roman" w:hAnsi="Times New Roman" w:cs="Times New Roman"/>
                      <w:color w:val="FF0000"/>
                      <w:szCs w:val="21"/>
                      <w:lang w:val="en-US" w:eastAsia="zh-CN"/>
                    </w:rPr>
                    <w:t>/</w:t>
                  </w:r>
                </w:p>
              </w:tc>
              <w:tc>
                <w:tcPr>
                  <w:tcW w:w="562" w:type="pct"/>
                  <w:shd w:val="clear" w:color="auto" w:fill="auto"/>
                  <w:noWrap w:val="0"/>
                  <w:vAlign w:val="center"/>
                </w:tcPr>
                <w:p>
                  <w:pPr>
                    <w:adjustRightInd w:val="0"/>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lang w:val="en-US" w:eastAsia="zh-CN"/>
                    </w:rPr>
                    <w:t>/</w:t>
                  </w:r>
                </w:p>
              </w:tc>
              <w:tc>
                <w:tcPr>
                  <w:tcW w:w="1636" w:type="pct"/>
                  <w:gridSpan w:val="3"/>
                  <w:shd w:val="clear" w:color="auto" w:fill="auto"/>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工件附着</w:t>
                  </w:r>
                </w:p>
              </w:tc>
              <w:tc>
                <w:tcPr>
                  <w:tcW w:w="590" w:type="pct"/>
                  <w:shd w:val="clear" w:color="000000" w:fill="auto"/>
                  <w:noWrap w:val="0"/>
                  <w:vAlign w:val="center"/>
                </w:tcPr>
                <w:p>
                  <w:pPr>
                    <w:snapToGrid w:val="0"/>
                    <w:jc w:val="center"/>
                    <w:rPr>
                      <w:rFonts w:hint="default" w:ascii="Times New Roman" w:hAnsi="Times New Roman" w:eastAsia="宋体" w:cs="Times New Roman"/>
                      <w:color w:val="FF0000"/>
                      <w:szCs w:val="21"/>
                      <w:highlight w:val="none"/>
                      <w:lang w:val="en-US" w:eastAsia="zh-CN"/>
                    </w:rPr>
                  </w:pPr>
                  <w:r>
                    <w:rPr>
                      <w:rFonts w:hint="eastAsia" w:cs="Times New Roman"/>
                      <w:color w:val="FF0000"/>
                      <w:szCs w:val="21"/>
                      <w:highlight w:val="none"/>
                      <w:lang w:val="en-US" w:eastAsia="zh-CN"/>
                    </w:rPr>
                    <w:t>0.704</w:t>
                  </w:r>
                </w:p>
              </w:tc>
              <w:tc>
                <w:tcPr>
                  <w:tcW w:w="557" w:type="pct"/>
                  <w:shd w:val="clear" w:color="000000" w:fill="auto"/>
                  <w:noWrap w:val="0"/>
                  <w:vAlign w:val="center"/>
                </w:tcPr>
                <w:p>
                  <w:pPr>
                    <w:snapToGrid w:val="0"/>
                    <w:jc w:val="center"/>
                    <w:rPr>
                      <w:rFonts w:hint="default" w:ascii="Times New Roman" w:hAnsi="Times New Roman" w:cs="Times New Roman"/>
                      <w:color w:val="FF0000"/>
                      <w:szCs w:val="21"/>
                      <w:highlight w:val="none"/>
                    </w:rPr>
                  </w:pPr>
                  <w:r>
                    <w:rPr>
                      <w:rFonts w:hint="default" w:ascii="Times New Roman" w:hAnsi="Times New Roman" w:cs="Times New Roman"/>
                      <w:color w:val="FF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86" w:type="pct"/>
                  <w:noWrap w:val="0"/>
                  <w:vAlign w:val="center"/>
                </w:tcPr>
                <w:p>
                  <w:pPr>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合计</w:t>
                  </w:r>
                </w:p>
              </w:tc>
              <w:tc>
                <w:tcPr>
                  <w:tcW w:w="1529" w:type="pct"/>
                  <w:gridSpan w:val="3"/>
                  <w:noWrap w:val="0"/>
                  <w:vAlign w:val="center"/>
                </w:tcPr>
                <w:p>
                  <w:pPr>
                    <w:snapToGrid w:val="0"/>
                    <w:jc w:val="center"/>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2.59</w:t>
                  </w:r>
                </w:p>
              </w:tc>
              <w:tc>
                <w:tcPr>
                  <w:tcW w:w="474" w:type="pct"/>
                  <w:noWrap w:val="0"/>
                  <w:vAlign w:val="center"/>
                </w:tcPr>
                <w:p>
                  <w:pPr>
                    <w:widowControl/>
                    <w:snapToGrid w:val="0"/>
                    <w:jc w:val="center"/>
                    <w:rPr>
                      <w:rFonts w:hint="default" w:ascii="Times New Roman" w:hAnsi="Times New Roman" w:cs="Times New Roman"/>
                      <w:color w:val="FF0000"/>
                      <w:szCs w:val="21"/>
                    </w:rPr>
                  </w:pPr>
                  <w:r>
                    <w:rPr>
                      <w:rFonts w:hint="default" w:ascii="Times New Roman" w:hAnsi="Times New Roman" w:cs="Times New Roman"/>
                      <w:color w:val="FF0000"/>
                      <w:szCs w:val="21"/>
                    </w:rPr>
                    <w:t>合计</w:t>
                  </w:r>
                </w:p>
              </w:tc>
              <w:tc>
                <w:tcPr>
                  <w:tcW w:w="2310" w:type="pct"/>
                  <w:gridSpan w:val="4"/>
                  <w:noWrap w:val="0"/>
                  <w:vAlign w:val="center"/>
                </w:tcPr>
                <w:p>
                  <w:pPr>
                    <w:widowControl/>
                    <w:snapToGrid w:val="0"/>
                    <w:jc w:val="center"/>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2.59</w:t>
                  </w:r>
                </w:p>
              </w:tc>
            </w:tr>
          </w:tbl>
          <w:p>
            <w:pPr>
              <w:adjustRightInd w:val="0"/>
              <w:snapToGrid w:val="0"/>
              <w:spacing w:line="360" w:lineRule="auto"/>
              <w:ind w:firstLine="482" w:firstLineChars="200"/>
              <w:jc w:val="both"/>
              <w:rPr>
                <w:rFonts w:hint="default" w:ascii="Times New Roman" w:hAnsi="Times New Roman" w:eastAsia="宋体" w:cs="Times New Roman"/>
                <w:b/>
                <w:bCs/>
                <w:color w:val="000000"/>
                <w:sz w:val="24"/>
                <w:szCs w:val="32"/>
                <w:lang w:val="en-US" w:eastAsia="zh-CN"/>
              </w:rPr>
            </w:pPr>
            <w:r>
              <w:rPr>
                <w:rFonts w:hint="eastAsia" w:ascii="Times New Roman" w:hAnsi="Times New Roman" w:eastAsia="宋体" w:cs="Times New Roman"/>
                <w:b/>
                <w:bCs/>
                <w:color w:val="000000"/>
                <w:sz w:val="24"/>
                <w:szCs w:val="32"/>
                <w:lang w:val="en-US" w:eastAsia="zh-CN"/>
              </w:rPr>
              <w:t>4</w:t>
            </w:r>
            <w:r>
              <w:rPr>
                <w:rFonts w:hint="default" w:ascii="Times New Roman" w:hAnsi="Times New Roman" w:eastAsia="宋体" w:cs="Times New Roman"/>
                <w:b/>
                <w:bCs/>
                <w:color w:val="000000"/>
                <w:sz w:val="24"/>
                <w:szCs w:val="32"/>
                <w:lang w:val="en-US" w:eastAsia="zh-CN"/>
              </w:rPr>
              <w:t xml:space="preserve">、产品方案 </w:t>
            </w:r>
          </w:p>
          <w:p>
            <w:pPr>
              <w:pStyle w:val="101"/>
              <w:keepNext w:val="0"/>
              <w:keepLines w:val="0"/>
              <w:pageBreakBefore w:val="0"/>
              <w:widowControl/>
              <w:kinsoku/>
              <w:wordWrap/>
              <w:overflowPunct/>
              <w:topLinePunct w:val="0"/>
              <w:autoSpaceDE/>
              <w:autoSpaceDN/>
              <w:bidi w:val="0"/>
              <w:adjustRightInd w:val="0"/>
              <w:snapToGrid/>
              <w:spacing w:before="10" w:beforeLines="0" w:line="360" w:lineRule="auto"/>
              <w:ind w:firstLine="480" w:firstLineChars="200"/>
              <w:jc w:val="left"/>
              <w:textAlignment w:val="baseline"/>
              <w:rPr>
                <w:rFonts w:hint="default" w:ascii="Times New Roman" w:hAnsi="Times New Roman" w:eastAsia="宋体" w:cs="Times New Roman"/>
                <w:b w:val="0"/>
                <w:bCs w:val="0"/>
                <w:snapToGrid/>
                <w:color w:val="FF0000"/>
                <w:spacing w:val="0"/>
                <w:kern w:val="2"/>
                <w:sz w:val="24"/>
                <w:szCs w:val="24"/>
                <w:lang w:val="en-US" w:eastAsia="zh-CN" w:bidi="ar-SA"/>
              </w:rPr>
            </w:pPr>
            <w:r>
              <w:rPr>
                <w:rFonts w:hint="default" w:ascii="Times New Roman" w:hAnsi="Times New Roman" w:eastAsia="宋体" w:cs="Times New Roman"/>
                <w:b w:val="0"/>
                <w:bCs w:val="0"/>
                <w:snapToGrid/>
                <w:color w:val="FF0000"/>
                <w:spacing w:val="0"/>
                <w:kern w:val="2"/>
                <w:sz w:val="24"/>
                <w:szCs w:val="24"/>
                <w:lang w:val="en-US" w:eastAsia="zh-CN" w:bidi="ar-SA"/>
              </w:rPr>
              <w:t>本项目产品方案如下表2-</w:t>
            </w:r>
            <w:r>
              <w:rPr>
                <w:rFonts w:hint="eastAsia" w:ascii="Times New Roman" w:cs="Times New Roman"/>
                <w:b w:val="0"/>
                <w:bCs w:val="0"/>
                <w:snapToGrid/>
                <w:color w:val="FF0000"/>
                <w:spacing w:val="0"/>
                <w:kern w:val="2"/>
                <w:sz w:val="24"/>
                <w:szCs w:val="24"/>
                <w:lang w:val="en-US" w:eastAsia="zh-CN" w:bidi="ar-SA"/>
              </w:rPr>
              <w:t>7</w:t>
            </w:r>
            <w:r>
              <w:rPr>
                <w:rFonts w:hint="default" w:ascii="Times New Roman" w:hAnsi="Times New Roman" w:eastAsia="宋体" w:cs="Times New Roman"/>
                <w:b w:val="0"/>
                <w:bCs w:val="0"/>
                <w:snapToGrid/>
                <w:color w:val="FF0000"/>
                <w:spacing w:val="0"/>
                <w:kern w:val="2"/>
                <w:sz w:val="24"/>
                <w:szCs w:val="24"/>
                <w:lang w:val="en-US" w:eastAsia="zh-CN" w:bidi="ar-SA"/>
              </w:rPr>
              <w:t>所示。</w:t>
            </w:r>
          </w:p>
          <w:p>
            <w:pPr>
              <w:pStyle w:val="101"/>
              <w:keepNext w:val="0"/>
              <w:keepLines w:val="0"/>
              <w:pageBreakBefore w:val="0"/>
              <w:widowControl/>
              <w:kinsoku/>
              <w:wordWrap/>
              <w:overflowPunct/>
              <w:topLinePunct w:val="0"/>
              <w:autoSpaceDE/>
              <w:autoSpaceDN/>
              <w:bidi w:val="0"/>
              <w:adjustRightInd w:val="0"/>
              <w:snapToGrid/>
              <w:spacing w:beforeLines="0" w:line="240" w:lineRule="auto"/>
              <w:textAlignment w:val="baseline"/>
              <w:rPr>
                <w:rFonts w:hint="default" w:ascii="Times New Roman" w:hAnsi="Times New Roman" w:cs="Times New Roman"/>
                <w:b/>
                <w:bCs/>
                <w:color w:val="FF0000"/>
                <w:sz w:val="21"/>
                <w:szCs w:val="21"/>
              </w:rPr>
            </w:pPr>
            <w:r>
              <w:rPr>
                <w:rFonts w:hint="default" w:ascii="Times New Roman" w:hAnsi="Times New Roman" w:cs="Times New Roman"/>
                <w:b/>
                <w:bCs/>
                <w:color w:val="FF0000"/>
                <w:sz w:val="21"/>
                <w:szCs w:val="21"/>
              </w:rPr>
              <w:t>表2-</w:t>
            </w:r>
            <w:r>
              <w:rPr>
                <w:rFonts w:hint="eastAsia" w:ascii="Times New Roman" w:cs="Times New Roman"/>
                <w:b/>
                <w:bCs/>
                <w:color w:val="FF0000"/>
                <w:sz w:val="21"/>
                <w:szCs w:val="21"/>
                <w:lang w:val="en-US" w:eastAsia="zh-CN"/>
              </w:rPr>
              <w:t>7</w:t>
            </w:r>
            <w:r>
              <w:rPr>
                <w:rFonts w:hint="default" w:ascii="Times New Roman" w:hAnsi="Times New Roman" w:cs="Times New Roman"/>
                <w:b/>
                <w:bCs/>
                <w:color w:val="FF0000"/>
                <w:sz w:val="21"/>
                <w:szCs w:val="21"/>
              </w:rPr>
              <w:t xml:space="preserve"> 本项目产品方案一览表</w:t>
            </w:r>
          </w:p>
          <w:tbl>
            <w:tblPr>
              <w:tblStyle w:val="27"/>
              <w:tblW w:w="4998" w:type="pct"/>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2227"/>
              <w:gridCol w:w="1502"/>
              <w:gridCol w:w="398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8" w:hRule="atLeast"/>
                <w:jc w:val="center"/>
              </w:trPr>
              <w:tc>
                <w:tcPr>
                  <w:tcW w:w="1443" w:type="pct"/>
                  <w:tcBorders>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rPr>
                  </w:pPr>
                  <w:r>
                    <w:rPr>
                      <w:rFonts w:hint="default" w:ascii="Times New Roman" w:hAnsi="Times New Roman" w:eastAsia="宋体" w:cs="Times New Roman"/>
                      <w:b/>
                      <w:bCs/>
                      <w:color w:val="FF0000"/>
                      <w:sz w:val="21"/>
                      <w:szCs w:val="21"/>
                    </w:rPr>
                    <w:t>名称</w:t>
                  </w:r>
                </w:p>
              </w:tc>
              <w:tc>
                <w:tcPr>
                  <w:tcW w:w="973" w:type="pct"/>
                  <w:tcBorders>
                    <w:bottom w:val="single" w:color="auto" w:sz="12" w:space="0"/>
                  </w:tcBorders>
                  <w:noWrap w:val="0"/>
                  <w:vAlign w:val="center"/>
                </w:tcPr>
                <w:p>
                  <w:pPr>
                    <w:pStyle w:val="102"/>
                    <w:spacing w:line="240" w:lineRule="auto"/>
                    <w:ind w:firstLine="0"/>
                    <w:rPr>
                      <w:rFonts w:hint="default" w:ascii="Times New Roman" w:hAnsi="Times New Roman" w:eastAsia="宋体" w:cs="Times New Roman"/>
                      <w:b/>
                      <w:bCs/>
                      <w:color w:val="FF0000"/>
                      <w:sz w:val="21"/>
                      <w:szCs w:val="21"/>
                    </w:rPr>
                  </w:pPr>
                  <w:r>
                    <w:rPr>
                      <w:rFonts w:hint="default" w:ascii="Times New Roman" w:hAnsi="Times New Roman" w:eastAsia="宋体" w:cs="Times New Roman"/>
                      <w:b/>
                      <w:bCs/>
                      <w:color w:val="FF0000"/>
                      <w:sz w:val="21"/>
                      <w:szCs w:val="21"/>
                    </w:rPr>
                    <w:t>生产能力</w:t>
                  </w:r>
                </w:p>
              </w:tc>
              <w:tc>
                <w:tcPr>
                  <w:tcW w:w="2583" w:type="pct"/>
                  <w:tcBorders>
                    <w:bottom w:val="single" w:color="auto" w:sz="12" w:space="0"/>
                  </w:tcBorders>
                  <w:noWrap w:val="0"/>
                  <w:vAlign w:val="center"/>
                </w:tcPr>
                <w:p>
                  <w:pPr>
                    <w:pStyle w:val="102"/>
                    <w:spacing w:line="240" w:lineRule="auto"/>
                    <w:ind w:firstLine="0"/>
                    <w:rPr>
                      <w:rFonts w:hint="default" w:ascii="Times New Roman" w:hAnsi="Times New Roman" w:eastAsia="宋体" w:cs="Times New Roman"/>
                      <w:b/>
                      <w:bCs/>
                      <w:color w:val="FF0000"/>
                      <w:sz w:val="21"/>
                      <w:szCs w:val="21"/>
                      <w:lang w:val="en-US" w:eastAsia="zh-CN"/>
                    </w:rPr>
                  </w:pPr>
                  <w:r>
                    <w:rPr>
                      <w:rFonts w:hint="eastAsia" w:ascii="Times New Roman" w:hAnsi="Times New Roman" w:eastAsia="宋体" w:cs="Times New Roman"/>
                      <w:b/>
                      <w:bCs/>
                      <w:color w:val="FF0000"/>
                      <w:sz w:val="21"/>
                      <w:szCs w:val="21"/>
                      <w:lang w:val="en-US" w:eastAsia="zh-CN"/>
                    </w:rPr>
                    <w:t>备注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6" w:hRule="atLeast"/>
                <w:jc w:val="center"/>
              </w:trPr>
              <w:tc>
                <w:tcPr>
                  <w:tcW w:w="1443" w:type="pct"/>
                  <w:tcBorders>
                    <w:top w:val="single" w:color="auto" w:sz="12" w:space="0"/>
                    <w:bottom w:val="single" w:color="auto" w:sz="4"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XR光学模组</w:t>
                  </w:r>
                </w:p>
              </w:tc>
              <w:tc>
                <w:tcPr>
                  <w:tcW w:w="973" w:type="pct"/>
                  <w:tcBorders>
                    <w:top w:val="single" w:color="auto" w:sz="12" w:space="0"/>
                    <w:bottom w:val="single" w:color="auto" w:sz="4"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10</w:t>
                  </w:r>
                  <w:r>
                    <w:rPr>
                      <w:rFonts w:hint="default" w:ascii="Times New Roman" w:hAnsi="Times New Roman" w:eastAsia="宋体" w:cs="Times New Roman"/>
                      <w:color w:val="FF0000"/>
                      <w:sz w:val="21"/>
                      <w:szCs w:val="21"/>
                    </w:rPr>
                    <w:t>万</w:t>
                  </w:r>
                  <w:r>
                    <w:rPr>
                      <w:rFonts w:hint="eastAsia" w:ascii="Times New Roman" w:hAnsi="Times New Roman" w:eastAsia="宋体" w:cs="Times New Roman"/>
                      <w:color w:val="FF0000"/>
                      <w:sz w:val="21"/>
                      <w:szCs w:val="21"/>
                      <w:lang w:val="en-US" w:eastAsia="zh-CN"/>
                    </w:rPr>
                    <w:t>套</w:t>
                  </w:r>
                  <w:r>
                    <w:rPr>
                      <w:rFonts w:hint="default" w:ascii="Times New Roman" w:hAnsi="Times New Roman" w:eastAsia="宋体" w:cs="Times New Roman"/>
                      <w:color w:val="FF0000"/>
                      <w:sz w:val="21"/>
                      <w:szCs w:val="21"/>
                    </w:rPr>
                    <w:t>/a</w:t>
                  </w:r>
                </w:p>
              </w:tc>
              <w:tc>
                <w:tcPr>
                  <w:tcW w:w="2583" w:type="pct"/>
                  <w:tcBorders>
                    <w:top w:val="single" w:color="auto" w:sz="12" w:space="0"/>
                    <w:bottom w:val="single" w:color="auto" w:sz="4"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XR光学自由曲面棱镜</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6" w:hRule="atLeast"/>
                <w:jc w:val="center"/>
              </w:trPr>
              <w:tc>
                <w:tcPr>
                  <w:tcW w:w="1443" w:type="pct"/>
                  <w:tcBorders>
                    <w:top w:val="single" w:color="auto" w:sz="4" w:space="0"/>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远像光屏核心组件</w:t>
                  </w:r>
                </w:p>
              </w:tc>
              <w:tc>
                <w:tcPr>
                  <w:tcW w:w="973" w:type="pct"/>
                  <w:tcBorders>
                    <w:top w:val="single" w:color="auto" w:sz="4" w:space="0"/>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3万台</w:t>
                  </w:r>
                  <w:r>
                    <w:rPr>
                      <w:rFonts w:hint="eastAsia" w:ascii="Times New Roman" w:hAnsi="Times New Roman" w:eastAsia="宋体" w:cs="Times New Roman"/>
                      <w:color w:val="FF0000"/>
                      <w:sz w:val="21"/>
                      <w:szCs w:val="21"/>
                      <w:lang w:val="en-US" w:eastAsia="zh-CN"/>
                    </w:rPr>
                    <w:t>/a</w:t>
                  </w:r>
                </w:p>
              </w:tc>
              <w:tc>
                <w:tcPr>
                  <w:tcW w:w="2583" w:type="pct"/>
                  <w:tcBorders>
                    <w:top w:val="single" w:color="auto" w:sz="4" w:space="0"/>
                    <w:bottom w:val="single" w:color="auto" w:sz="12" w:space="0"/>
                  </w:tcBorders>
                  <w:noWrap w:val="0"/>
                  <w:vAlign w:val="center"/>
                </w:tcPr>
                <w:p>
                  <w:pPr>
                    <w:pStyle w:val="102"/>
                    <w:spacing w:line="240" w:lineRule="auto"/>
                    <w:ind w:firstLine="0"/>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儿童近视防护产品</w:t>
                  </w:r>
                  <w:r>
                    <w:rPr>
                      <w:rFonts w:hint="eastAsia" w:ascii="Times New Roman" w:hAnsi="Times New Roman" w:eastAsia="宋体" w:cs="Times New Roman"/>
                      <w:color w:val="FF0000"/>
                      <w:sz w:val="21"/>
                      <w:szCs w:val="21"/>
                      <w:lang w:val="en-US" w:eastAsia="zh-CN"/>
                    </w:rPr>
                    <w:t>的光学配件</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both"/>
              <w:textAlignment w:val="auto"/>
              <w:rPr>
                <w:rFonts w:hint="eastAsia" w:cs="Times New Roman"/>
                <w:b/>
                <w:bCs/>
                <w:color w:val="000000"/>
                <w:sz w:val="24"/>
                <w:szCs w:val="32"/>
                <w:lang w:val="en-US" w:eastAsia="zh-CN"/>
              </w:rPr>
            </w:pPr>
            <w:r>
              <w:rPr>
                <w:rFonts w:hint="eastAsia" w:cs="Times New Roman"/>
                <w:b/>
                <w:bCs/>
                <w:color w:val="000000"/>
                <w:sz w:val="24"/>
                <w:szCs w:val="32"/>
                <w:lang w:val="en-US" w:eastAsia="zh-CN"/>
              </w:rPr>
              <w:t>5、劳动定员和工作制度</w:t>
            </w:r>
          </w:p>
          <w:p>
            <w:pPr>
              <w:pStyle w:val="4"/>
              <w:keepNext/>
              <w:keepLines/>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1"/>
              <w:rPr>
                <w:rFonts w:hint="default" w:ascii="Times New Roman" w:hAnsi="Times New Roman" w:eastAsia="宋体" w:cs="Times New Roman"/>
                <w:b w:val="0"/>
                <w:bCs w:val="0"/>
                <w:sz w:val="24"/>
                <w:szCs w:val="24"/>
                <w:lang w:val="en-US" w:eastAsia="zh-CN"/>
              </w:rPr>
            </w:pPr>
            <w:bookmarkStart w:id="17" w:name="_Toc29852"/>
            <w:r>
              <w:rPr>
                <w:rFonts w:hint="default" w:ascii="Times New Roman" w:hAnsi="Times New Roman" w:eastAsia="宋体" w:cs="Times New Roman"/>
                <w:b w:val="0"/>
                <w:bCs w:val="0"/>
                <w:sz w:val="24"/>
                <w:szCs w:val="24"/>
                <w:lang w:val="en-US" w:eastAsia="zh-CN"/>
              </w:rPr>
              <w:t>职工人数：本项目劳动定员</w:t>
            </w:r>
            <w:r>
              <w:rPr>
                <w:rFonts w:hint="eastAsia" w:cs="Times New Roman"/>
                <w:b w:val="0"/>
                <w:bCs w:val="0"/>
                <w:sz w:val="24"/>
                <w:szCs w:val="24"/>
                <w:lang w:val="en-US" w:eastAsia="zh-CN"/>
              </w:rPr>
              <w:t>100</w:t>
            </w:r>
            <w:r>
              <w:rPr>
                <w:rFonts w:hint="default" w:ascii="Times New Roman" w:hAnsi="Times New Roman" w:eastAsia="宋体" w:cs="Times New Roman"/>
                <w:b w:val="0"/>
                <w:bCs w:val="0"/>
                <w:sz w:val="24"/>
                <w:szCs w:val="24"/>
                <w:lang w:val="en-US" w:eastAsia="zh-CN"/>
              </w:rPr>
              <w:t>人，厂区设食堂</w:t>
            </w:r>
            <w:r>
              <w:rPr>
                <w:rFonts w:hint="eastAsia" w:cs="Times New Roman"/>
                <w:b w:val="0"/>
                <w:bCs w:val="0"/>
                <w:sz w:val="24"/>
                <w:szCs w:val="24"/>
                <w:lang w:val="en-US" w:eastAsia="zh-CN"/>
              </w:rPr>
              <w:t>，不包住宿</w:t>
            </w:r>
            <w:r>
              <w:rPr>
                <w:rFonts w:hint="default" w:ascii="Times New Roman" w:hAnsi="Times New Roman" w:eastAsia="宋体" w:cs="Times New Roman"/>
                <w:b w:val="0"/>
                <w:bCs w:val="0"/>
                <w:sz w:val="24"/>
                <w:szCs w:val="24"/>
                <w:lang w:val="en-US" w:eastAsia="zh-CN"/>
              </w:rPr>
              <w:t>。</w:t>
            </w:r>
            <w:bookmarkEnd w:id="17"/>
          </w:p>
          <w:p>
            <w:pPr>
              <w:pStyle w:val="4"/>
              <w:keepNext/>
              <w:keepLines/>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outlineLvl w:val="1"/>
              <w:rPr>
                <w:rFonts w:hint="default" w:ascii="Times New Roman" w:hAnsi="Times New Roman" w:eastAsia="宋体" w:cs="Times New Roman"/>
                <w:b w:val="0"/>
                <w:bCs w:val="0"/>
                <w:sz w:val="24"/>
                <w:szCs w:val="24"/>
                <w:lang w:val="en-US" w:eastAsia="zh-CN"/>
              </w:rPr>
            </w:pPr>
            <w:bookmarkStart w:id="18" w:name="_Toc7985"/>
            <w:r>
              <w:rPr>
                <w:rFonts w:hint="default" w:ascii="Times New Roman" w:hAnsi="Times New Roman" w:eastAsia="宋体" w:cs="Times New Roman"/>
                <w:b w:val="0"/>
                <w:bCs w:val="0"/>
                <w:sz w:val="24"/>
                <w:szCs w:val="24"/>
                <w:lang w:val="en-US" w:eastAsia="zh-CN"/>
              </w:rPr>
              <w:t>工作制度：工作制度为</w:t>
            </w:r>
            <w:r>
              <w:rPr>
                <w:rFonts w:hint="eastAsia" w:cs="Times New Roman"/>
                <w:b w:val="0"/>
                <w:bCs w:val="0"/>
                <w:sz w:val="24"/>
                <w:szCs w:val="24"/>
                <w:lang w:val="en-US" w:eastAsia="zh-CN"/>
              </w:rPr>
              <w:t>1</w:t>
            </w:r>
            <w:r>
              <w:rPr>
                <w:rFonts w:hint="default" w:ascii="Times New Roman" w:hAnsi="Times New Roman" w:eastAsia="宋体" w:cs="Times New Roman"/>
                <w:b w:val="0"/>
                <w:bCs w:val="0"/>
                <w:sz w:val="24"/>
                <w:szCs w:val="24"/>
                <w:lang w:val="en-US" w:eastAsia="zh-CN"/>
              </w:rPr>
              <w:t>班制，每班</w:t>
            </w:r>
            <w:r>
              <w:rPr>
                <w:rFonts w:hint="eastAsia" w:cs="Times New Roman"/>
                <w:b w:val="0"/>
                <w:bCs w:val="0"/>
                <w:sz w:val="24"/>
                <w:szCs w:val="24"/>
                <w:lang w:val="en-US" w:eastAsia="zh-CN"/>
              </w:rPr>
              <w:t>11个</w:t>
            </w:r>
            <w:r>
              <w:rPr>
                <w:rFonts w:hint="default" w:ascii="Times New Roman" w:hAnsi="Times New Roman" w:eastAsia="宋体" w:cs="Times New Roman"/>
                <w:b w:val="0"/>
                <w:bCs w:val="0"/>
                <w:sz w:val="24"/>
                <w:szCs w:val="24"/>
                <w:lang w:val="en-US" w:eastAsia="zh-CN"/>
              </w:rPr>
              <w:t>小时，年工作日300天。</w:t>
            </w:r>
            <w:bookmarkEnd w:id="18"/>
          </w:p>
          <w:p>
            <w:pPr>
              <w:pStyle w:val="4"/>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2" w:firstLineChars="200"/>
              <w:textAlignment w:val="auto"/>
              <w:outlineLvl w:val="1"/>
              <w:rPr>
                <w:rFonts w:hint="default" w:ascii="Times New Roman" w:hAnsi="Times New Roman" w:eastAsia="宋体" w:cs="Times New Roman"/>
                <w:sz w:val="24"/>
                <w:szCs w:val="24"/>
                <w:lang w:eastAsia="zh-CN"/>
              </w:rPr>
            </w:pPr>
            <w:bookmarkStart w:id="19" w:name="_Toc4985"/>
            <w:r>
              <w:rPr>
                <w:rFonts w:hint="eastAsia" w:cs="Times New Roman"/>
                <w:sz w:val="24"/>
                <w:szCs w:val="24"/>
                <w:lang w:val="en-US" w:eastAsia="zh-CN"/>
              </w:rPr>
              <w:t>6、</w:t>
            </w:r>
            <w:r>
              <w:rPr>
                <w:rFonts w:hint="default" w:ascii="Times New Roman" w:hAnsi="Times New Roman" w:eastAsia="宋体" w:cs="Times New Roman"/>
                <w:sz w:val="24"/>
                <w:szCs w:val="24"/>
                <w:lang w:eastAsia="zh-CN"/>
              </w:rPr>
              <w:t>公用工程</w:t>
            </w:r>
            <w:bookmarkEnd w:id="19"/>
          </w:p>
          <w:p>
            <w:pPr>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hint="eastAsia"/>
                <w:sz w:val="24"/>
                <w:lang w:eastAsia="zh-CN"/>
              </w:rPr>
              <w:t>（</w:t>
            </w:r>
            <w:r>
              <w:rPr>
                <w:rFonts w:hint="eastAsia"/>
                <w:sz w:val="24"/>
                <w:lang w:val="en-US" w:eastAsia="zh-CN"/>
              </w:rPr>
              <w:t>1</w:t>
            </w:r>
            <w:r>
              <w:rPr>
                <w:rFonts w:hint="eastAsia"/>
                <w:sz w:val="24"/>
                <w:lang w:eastAsia="zh-CN"/>
              </w:rPr>
              <w:t>）</w:t>
            </w:r>
            <w:r>
              <w:rPr>
                <w:rFonts w:ascii="Times New Roman" w:hAnsi="Times New Roman"/>
                <w:sz w:val="24"/>
              </w:rPr>
              <w:t>给排水情况</w:t>
            </w:r>
          </w:p>
          <w:p>
            <w:pPr>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hint="eastAsia" w:ascii="Times New Roman" w:hAnsi="Times New Roman"/>
                <w:sz w:val="24"/>
              </w:rPr>
              <w:t>1）</w:t>
            </w:r>
            <w:r>
              <w:rPr>
                <w:rFonts w:ascii="Times New Roman" w:hAnsi="Times New Roman"/>
                <w:sz w:val="24"/>
              </w:rPr>
              <w:t>给水：</w:t>
            </w:r>
            <w:r>
              <w:rPr>
                <w:rFonts w:hint="eastAsia" w:ascii="Times New Roman" w:hAnsi="Times New Roman"/>
                <w:sz w:val="24"/>
              </w:rPr>
              <w:t>项目用水由市政供水管网供给</w:t>
            </w:r>
            <w:r>
              <w:rPr>
                <w:rFonts w:ascii="Times New Roman" w:hAnsi="Times New Roman"/>
                <w:sz w:val="24"/>
              </w:rPr>
              <w:t>。</w:t>
            </w:r>
          </w:p>
          <w:p>
            <w:pPr>
              <w:spacing w:line="360" w:lineRule="auto"/>
              <w:ind w:firstLine="480" w:firstLineChars="200"/>
              <w:rPr>
                <w:rFonts w:hint="eastAsia" w:ascii="Times New Roman" w:hAnsi="Times New Roman" w:eastAsia="宋体"/>
                <w:sz w:val="24"/>
                <w:lang w:eastAsia="zh-CN"/>
              </w:rPr>
            </w:pPr>
            <w:r>
              <w:rPr>
                <w:rFonts w:hint="eastAsia" w:ascii="Times New Roman" w:hAnsi="Times New Roman"/>
                <w:sz w:val="24"/>
              </w:rPr>
              <w:t>2）</w:t>
            </w:r>
            <w:r>
              <w:rPr>
                <w:rFonts w:ascii="Times New Roman" w:hAnsi="Times New Roman"/>
                <w:sz w:val="24"/>
              </w:rPr>
              <w:t>排水：</w:t>
            </w:r>
            <w:r>
              <w:rPr>
                <w:rFonts w:hint="eastAsia" w:ascii="Times New Roman" w:hAnsi="Times New Roman"/>
                <w:sz w:val="24"/>
              </w:rPr>
              <w:t>厂区实行“雨污分流”的原则，生活污水、超声波清洗</w:t>
            </w:r>
            <w:r>
              <w:rPr>
                <w:rFonts w:hint="eastAsia"/>
                <w:sz w:val="24"/>
                <w:lang w:val="en-US" w:eastAsia="zh-CN"/>
              </w:rPr>
              <w:t>废</w:t>
            </w:r>
            <w:r>
              <w:rPr>
                <w:rFonts w:hint="eastAsia" w:ascii="Times New Roman" w:hAnsi="Times New Roman"/>
                <w:sz w:val="24"/>
              </w:rPr>
              <w:t>水经</w:t>
            </w:r>
            <w:r>
              <w:rPr>
                <w:rFonts w:hint="eastAsia"/>
                <w:sz w:val="24"/>
                <w:lang w:eastAsia="zh-CN"/>
              </w:rPr>
              <w:t>地埋式污水处理设施</w:t>
            </w:r>
            <w:r>
              <w:rPr>
                <w:rFonts w:hint="eastAsia" w:ascii="Times New Roman" w:hAnsi="Times New Roman"/>
                <w:sz w:val="24"/>
              </w:rPr>
              <w:t>预处理后，经经开区污水处理厂处理达到《城镇污水处理厂污染物排放标准》（GB18918-2002）表1一级B标准后排入信江</w:t>
            </w:r>
            <w:r>
              <w:rPr>
                <w:rFonts w:hint="eastAsia"/>
                <w:sz w:val="24"/>
                <w:lang w:val="en-US" w:eastAsia="zh-CN"/>
              </w:rPr>
              <w:t>；纯水制备浓水经园区污水管网外排至市政污水管网。</w:t>
            </w:r>
          </w:p>
          <w:p>
            <w:pPr>
              <w:spacing w:line="360" w:lineRule="auto"/>
              <w:ind w:firstLine="480" w:firstLineChars="200"/>
              <w:rPr>
                <w:rFonts w:ascii="Times New Roman" w:hAnsi="Times New Roman"/>
                <w:sz w:val="24"/>
              </w:rPr>
            </w:pPr>
            <w:r>
              <w:rPr>
                <w:rFonts w:hint="eastAsia"/>
                <w:sz w:val="24"/>
                <w:lang w:eastAsia="zh-CN"/>
              </w:rPr>
              <w:t>（</w:t>
            </w:r>
            <w:r>
              <w:rPr>
                <w:rFonts w:hint="eastAsia"/>
                <w:sz w:val="24"/>
                <w:lang w:val="en-US" w:eastAsia="zh-CN"/>
              </w:rPr>
              <w:t>2</w:t>
            </w:r>
            <w:r>
              <w:rPr>
                <w:rFonts w:hint="eastAsia"/>
                <w:sz w:val="24"/>
                <w:lang w:eastAsia="zh-CN"/>
              </w:rPr>
              <w:t>）</w:t>
            </w:r>
            <w:r>
              <w:rPr>
                <w:rFonts w:ascii="Times New Roman" w:hAnsi="Times New Roman"/>
                <w:sz w:val="24"/>
              </w:rPr>
              <w:t>供电：</w:t>
            </w:r>
            <w:r>
              <w:rPr>
                <w:rFonts w:hint="eastAsia" w:ascii="Times New Roman" w:hAnsi="Times New Roman"/>
                <w:sz w:val="24"/>
              </w:rPr>
              <w:t>项目用电由市政电网供给</w:t>
            </w:r>
            <w:r>
              <w:rPr>
                <w:rFonts w:ascii="Times New Roman" w:hAnsi="Times New Roman"/>
                <w:sz w:val="24"/>
              </w:rPr>
              <w:t>。</w:t>
            </w:r>
          </w:p>
          <w:p>
            <w:pPr>
              <w:spacing w:line="360" w:lineRule="auto"/>
              <w:ind w:firstLine="482" w:firstLineChars="200"/>
              <w:rPr>
                <w:rFonts w:hint="eastAsia" w:ascii="Times New Roman" w:hAnsi="Times New Roman"/>
                <w:b/>
                <w:bCs/>
                <w:sz w:val="24"/>
              </w:rPr>
            </w:pPr>
            <w:r>
              <w:rPr>
                <w:rFonts w:hint="eastAsia"/>
                <w:b/>
                <w:bCs/>
                <w:sz w:val="24"/>
                <w:lang w:val="en-US" w:eastAsia="zh-CN"/>
              </w:rPr>
              <w:t>7</w:t>
            </w:r>
            <w:r>
              <w:rPr>
                <w:rFonts w:hint="eastAsia" w:ascii="Times New Roman" w:hAnsi="Times New Roman"/>
                <w:b/>
                <w:bCs/>
                <w:sz w:val="24"/>
              </w:rPr>
              <w:t>、厂区平面布置及合理性分析</w:t>
            </w:r>
          </w:p>
          <w:p>
            <w:pPr>
              <w:numPr>
                <w:ilvl w:val="0"/>
                <w:numId w:val="0"/>
              </w:numPr>
              <w:adjustRightInd w:val="0"/>
              <w:snapToGrid w:val="0"/>
              <w:spacing w:line="360" w:lineRule="auto"/>
              <w:ind w:firstLine="480" w:firstLineChars="200"/>
              <w:jc w:val="left"/>
              <w:rPr>
                <w:rFonts w:hint="eastAsia" w:ascii="Times New Roman" w:hAnsi="Times New Roman"/>
                <w:sz w:val="24"/>
              </w:rPr>
            </w:pPr>
            <w:r>
              <w:rPr>
                <w:rFonts w:hint="eastAsia" w:ascii="Times New Roman" w:hAnsi="Times New Roman"/>
                <w:sz w:val="24"/>
              </w:rPr>
              <w:t>本项目主要建筑内容为生产车间、</w:t>
            </w:r>
            <w:r>
              <w:rPr>
                <w:rFonts w:hint="eastAsia"/>
                <w:sz w:val="24"/>
                <w:lang w:val="en-US" w:eastAsia="zh-CN"/>
              </w:rPr>
              <w:t>办公区</w:t>
            </w:r>
            <w:r>
              <w:rPr>
                <w:rFonts w:hint="eastAsia" w:ascii="Times New Roman" w:hAnsi="Times New Roman"/>
                <w:sz w:val="24"/>
              </w:rPr>
              <w:t>和环保设施等。本项目位于江西省上饶经济技术开发区兴业大道21号A栋，租赁</w:t>
            </w:r>
            <w:r>
              <w:rPr>
                <w:rFonts w:hint="eastAsia"/>
                <w:sz w:val="24"/>
                <w:lang w:val="en-US" w:eastAsia="zh-CN"/>
              </w:rPr>
              <w:t>原裸眼3D</w:t>
            </w:r>
            <w:r>
              <w:rPr>
                <w:rFonts w:hint="eastAsia" w:ascii="Times New Roman" w:hAnsi="Times New Roman"/>
                <w:sz w:val="24"/>
              </w:rPr>
              <w:t>厂房，总建筑面积约5000平方米，设有</w:t>
            </w:r>
            <w:r>
              <w:rPr>
                <w:rFonts w:hint="eastAsia"/>
                <w:sz w:val="24"/>
                <w:lang w:val="en-US" w:eastAsia="zh-CN"/>
              </w:rPr>
              <w:t>包装区</w:t>
            </w:r>
            <w:r>
              <w:rPr>
                <w:rFonts w:hint="eastAsia" w:ascii="Times New Roman" w:hAnsi="Times New Roman"/>
                <w:sz w:val="24"/>
              </w:rPr>
              <w:t>、</w:t>
            </w:r>
            <w:r>
              <w:rPr>
                <w:rFonts w:hint="eastAsia"/>
                <w:sz w:val="24"/>
                <w:lang w:val="en-US" w:eastAsia="zh-CN"/>
              </w:rPr>
              <w:t>清洗区、检验室、</w:t>
            </w:r>
            <w:r>
              <w:rPr>
                <w:rFonts w:hint="eastAsia" w:ascii="Times New Roman" w:hAnsi="Times New Roman"/>
                <w:sz w:val="24"/>
              </w:rPr>
              <w:t>办公等功能区，</w:t>
            </w:r>
            <w:r>
              <w:rPr>
                <w:rFonts w:hint="eastAsia"/>
                <w:sz w:val="24"/>
                <w:lang w:val="en-US" w:eastAsia="zh-CN"/>
              </w:rPr>
              <w:t>清洗区进行清洗工序，检验室主要是</w:t>
            </w:r>
            <w:r>
              <w:rPr>
                <w:rFonts w:hint="eastAsia" w:cs="Times New Roman"/>
                <w:b w:val="0"/>
                <w:bCs w:val="0"/>
                <w:sz w:val="24"/>
                <w:szCs w:val="24"/>
                <w:lang w:val="en-US" w:eastAsia="zh-CN"/>
              </w:rPr>
              <w:t>人工检测加工后的模组或组件是否存在脏污，是否装配完全，保证产品合格。</w:t>
            </w:r>
            <w:r>
              <w:rPr>
                <w:rFonts w:hint="eastAsia" w:ascii="Times New Roman" w:hAnsi="Times New Roman"/>
                <w:sz w:val="24"/>
              </w:rPr>
              <w:t>本期工程总图布置依据各功能区的特性，有利于厂内运输及生产管理，避免可能存在的二次污染，且在严格执行相关规范安全规定的同时紧凑布置各建、构筑物，减少了相互之间运距。</w:t>
            </w:r>
          </w:p>
          <w:p>
            <w:pPr>
              <w:spacing w:line="360" w:lineRule="auto"/>
              <w:ind w:firstLine="480" w:firstLineChars="200"/>
              <w:rPr>
                <w:rFonts w:hint="default" w:ascii="Times New Roman" w:hAnsi="Times New Roman"/>
                <w:sz w:val="24"/>
                <w:lang w:val="en-US"/>
              </w:rPr>
            </w:pPr>
            <w:r>
              <w:rPr>
                <w:rFonts w:hint="eastAsia" w:ascii="Times New Roman" w:hAnsi="Times New Roman"/>
                <w:sz w:val="24"/>
              </w:rPr>
              <w:t>因此，从环境的角度分析项目总平面布置合理，具体平面布置图见附图二。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0" w:hRule="atLeast"/>
          <w:jc w:val="center"/>
        </w:trPr>
        <w:tc>
          <w:tcPr>
            <w:tcW w:w="703" w:type="dxa"/>
            <w:noWrap w:val="0"/>
            <w:vAlign w:val="center"/>
          </w:tcPr>
          <w:p>
            <w:pPr>
              <w:pStyle w:val="24"/>
              <w:adjustRightInd w:val="0"/>
              <w:snapToGrid w:val="0"/>
              <w:spacing w:before="0" w:beforeAutospacing="0" w:after="0" w:afterAutospacing="0"/>
              <w:jc w:val="center"/>
              <w:rPr>
                <w:rFonts w:cs="宋体"/>
                <w:sz w:val="24"/>
                <w:szCs w:val="24"/>
              </w:rPr>
            </w:pPr>
            <w:r>
              <w:rPr>
                <w:rFonts w:hint="eastAsia" w:cs="宋体"/>
                <w:sz w:val="24"/>
                <w:szCs w:val="24"/>
              </w:rPr>
              <w:t>工艺流程和产排污环节</w:t>
            </w:r>
          </w:p>
        </w:tc>
        <w:tc>
          <w:tcPr>
            <w:tcW w:w="7935" w:type="dxa"/>
            <w:noWrap w:val="0"/>
            <w:vAlign w:val="top"/>
          </w:tcPr>
          <w:p>
            <w:pPr>
              <w:spacing w:line="360" w:lineRule="auto"/>
              <w:ind w:firstLine="482" w:firstLineChars="200"/>
              <w:jc w:val="left"/>
              <w:rPr>
                <w:b/>
                <w:sz w:val="24"/>
                <w:szCs w:val="32"/>
              </w:rPr>
            </w:pPr>
            <w:r>
              <w:rPr>
                <w:rFonts w:hint="eastAsia"/>
                <w:b/>
                <w:sz w:val="24"/>
                <w:szCs w:val="32"/>
                <w:lang w:val="en-US" w:eastAsia="zh-CN"/>
              </w:rPr>
              <w:t>1、</w:t>
            </w:r>
            <w:r>
              <w:rPr>
                <w:rFonts w:hint="eastAsia"/>
                <w:b/>
                <w:sz w:val="24"/>
                <w:szCs w:val="32"/>
              </w:rPr>
              <w:t>运营期工艺流程</w:t>
            </w:r>
          </w:p>
          <w:p>
            <w:pPr>
              <w:adjustRightInd w:val="0"/>
              <w:snapToGrid w:val="0"/>
              <w:spacing w:line="360" w:lineRule="auto"/>
              <w:ind w:firstLine="480" w:firstLineChars="200"/>
              <w:jc w:val="left"/>
              <w:rPr>
                <w:rFonts w:hint="eastAsia" w:ascii="宋体" w:hAnsi="宋体"/>
                <w:bCs/>
                <w:sz w:val="24"/>
                <w:szCs w:val="24"/>
                <w:lang w:eastAsia="zh-CN"/>
              </w:rPr>
            </w:pPr>
            <w:r>
              <w:rPr>
                <w:rFonts w:hint="eastAsia" w:cs="Times New Roman"/>
                <w:bCs/>
                <w:sz w:val="24"/>
                <w:szCs w:val="24"/>
                <w:lang w:eastAsia="zh-CN"/>
              </w:rPr>
              <w:t>（</w:t>
            </w:r>
            <w:r>
              <w:rPr>
                <w:rFonts w:hint="eastAsia" w:cs="Times New Roman"/>
                <w:bCs/>
                <w:sz w:val="24"/>
                <w:szCs w:val="24"/>
                <w:lang w:val="en-US" w:eastAsia="zh-CN"/>
              </w:rPr>
              <w:t>1</w:t>
            </w:r>
            <w:r>
              <w:rPr>
                <w:rFonts w:hint="eastAsia" w:cs="Times New Roman"/>
                <w:bCs/>
                <w:sz w:val="24"/>
                <w:szCs w:val="24"/>
                <w:lang w:eastAsia="zh-CN"/>
              </w:rPr>
              <w:t>）</w:t>
            </w:r>
            <w:r>
              <w:rPr>
                <w:rFonts w:hint="default" w:ascii="Times New Roman" w:hAnsi="Times New Roman" w:cs="Times New Roman"/>
                <w:bCs/>
                <w:sz w:val="24"/>
                <w:szCs w:val="24"/>
                <w:lang w:eastAsia="zh-CN"/>
              </w:rPr>
              <w:t>项目XR光学模组的生产加工工艺流程及产污环节如下图。</w:t>
            </w:r>
          </w:p>
          <w:p>
            <w:pPr>
              <w:pStyle w:val="26"/>
              <w:ind w:left="0" w:leftChars="0" w:firstLine="0" w:firstLineChars="0"/>
              <w:jc w:val="center"/>
              <w:rPr>
                <w:sz w:val="24"/>
              </w:rPr>
            </w:pPr>
            <w:r>
              <w:rPr>
                <w:sz w:val="24"/>
              </w:rPr>
              <w:object>
                <v:shape id="_x0000_i1025" o:spt="75" type="#_x0000_t75" style="height:344.1pt;width:268.8pt;" o:ole="t" filled="f" o:preferrelative="t" stroked="f" coordsize="21600,21600">
                  <v:path/>
                  <v:fill on="f" focussize="0,0"/>
                  <v:stroke on="f"/>
                  <v:imagedata r:id="rId11" o:title=""/>
                  <o:lock v:ext="edit" aspectratio="f"/>
                  <w10:wrap type="none"/>
                  <w10:anchorlock/>
                </v:shape>
                <o:OLEObject Type="Embed" ProgID="Visio.Drawing.11" ShapeID="_x0000_i1025" DrawAspect="Content" ObjectID="_1468075725" r:id="rId10">
                  <o:LockedField>false</o:LockedField>
                </o:OLEObject>
              </w:object>
            </w:r>
          </w:p>
          <w:p>
            <w:pPr>
              <w:adjustRightInd w:val="0"/>
              <w:snapToGrid w:val="0"/>
              <w:spacing w:line="360" w:lineRule="auto"/>
              <w:jc w:val="center"/>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图</w:t>
            </w:r>
            <w:r>
              <w:rPr>
                <w:rFonts w:hint="eastAsia" w:cs="Times New Roman"/>
                <w:b/>
                <w:bCs/>
                <w:sz w:val="21"/>
                <w:szCs w:val="21"/>
                <w:lang w:val="en-US" w:eastAsia="zh-CN"/>
              </w:rPr>
              <w:t>2-2</w:t>
            </w:r>
            <w:r>
              <w:rPr>
                <w:rFonts w:hint="eastAsia" w:ascii="Times New Roman" w:hAnsi="Times New Roman" w:cs="Times New Roman"/>
                <w:b/>
                <w:bCs/>
                <w:sz w:val="21"/>
                <w:szCs w:val="21"/>
                <w:lang w:val="en-US" w:eastAsia="zh-CN"/>
              </w:rPr>
              <w:t xml:space="preserve">  项目营运期XR光学模组工艺流程及产污环节示意图</w:t>
            </w:r>
          </w:p>
          <w:p>
            <w:pPr>
              <w:adjustRightInd w:val="0"/>
              <w:snapToGrid w:val="0"/>
              <w:spacing w:line="360" w:lineRule="auto"/>
              <w:ind w:firstLine="482" w:firstLineChars="200"/>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工艺流程说明：</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1）外协镀膜</w:t>
            </w:r>
          </w:p>
          <w:p>
            <w:pPr>
              <w:pStyle w:val="34"/>
              <w:numPr>
                <w:ilvl w:val="0"/>
                <w:numId w:val="0"/>
              </w:numPr>
              <w:ind w:firstLine="480" w:firstLineChars="200"/>
              <w:jc w:val="both"/>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kern w:val="2"/>
                <w:sz w:val="24"/>
                <w:szCs w:val="24"/>
                <w:lang w:val="en-US" w:eastAsia="zh-CN" w:bidi="ar-SA"/>
              </w:rPr>
              <w:t>将</w:t>
            </w:r>
            <w:r>
              <w:rPr>
                <w:rFonts w:hint="eastAsia" w:hAnsi="Times New Roman" w:cs="Times New Roman"/>
                <w:b w:val="0"/>
                <w:bCs w:val="0"/>
                <w:kern w:val="2"/>
                <w:sz w:val="24"/>
                <w:szCs w:val="24"/>
                <w:lang w:val="en-US" w:eastAsia="zh-CN" w:bidi="ar-SA"/>
              </w:rPr>
              <w:t>外购</w:t>
            </w:r>
            <w:r>
              <w:rPr>
                <w:rFonts w:hint="default" w:ascii="Times New Roman" w:hAnsi="Times New Roman" w:eastAsia="宋体" w:cs="Times New Roman"/>
                <w:b w:val="0"/>
                <w:bCs w:val="0"/>
                <w:kern w:val="2"/>
                <w:sz w:val="24"/>
                <w:szCs w:val="24"/>
                <w:lang w:val="en-US" w:eastAsia="zh-CN" w:bidi="ar-SA"/>
              </w:rPr>
              <w:t>的光学玻璃表面镀上透明薄膜</w:t>
            </w:r>
            <w:r>
              <w:rPr>
                <w:rFonts w:hint="eastAsia" w:hAnsi="Times New Roman" w:cs="Times New Roman"/>
                <w:b w:val="0"/>
                <w:bCs w:val="0"/>
                <w:kern w:val="2"/>
                <w:sz w:val="24"/>
                <w:szCs w:val="24"/>
                <w:lang w:val="en-US" w:eastAsia="zh-CN" w:bidi="ar-SA"/>
              </w:rPr>
              <w:t>，此工序</w:t>
            </w:r>
            <w:r>
              <w:rPr>
                <w:rFonts w:hint="default" w:ascii="Times New Roman" w:hAnsi="Times New Roman" w:eastAsia="宋体" w:cs="Times New Roman"/>
                <w:b w:val="0"/>
                <w:bCs w:val="0"/>
                <w:kern w:val="2"/>
                <w:sz w:val="24"/>
                <w:szCs w:val="24"/>
                <w:lang w:val="en-US" w:eastAsia="zh-CN" w:bidi="ar-SA"/>
              </w:rPr>
              <w:t>为</w:t>
            </w:r>
            <w:r>
              <w:rPr>
                <w:rFonts w:hint="eastAsia" w:hAnsi="Times New Roman" w:cs="Times New Roman"/>
                <w:b w:val="0"/>
                <w:bCs w:val="0"/>
                <w:kern w:val="2"/>
                <w:sz w:val="24"/>
                <w:szCs w:val="24"/>
                <w:lang w:val="en-US" w:eastAsia="zh-CN" w:bidi="ar-SA"/>
              </w:rPr>
              <w:t>委外工序，产生的污染物不计入本项目分析范围</w:t>
            </w:r>
            <w:r>
              <w:rPr>
                <w:rFonts w:hint="default" w:ascii="Times New Roman" w:hAnsi="Times New Roman" w:eastAsia="宋体" w:cs="Times New Roman"/>
                <w:b w:val="0"/>
                <w:bCs w:val="0"/>
                <w:kern w:val="2"/>
                <w:sz w:val="24"/>
                <w:szCs w:val="24"/>
                <w:lang w:val="en-US" w:eastAsia="zh-CN" w:bidi="ar-SA"/>
              </w:rPr>
              <w:t>。</w:t>
            </w:r>
          </w:p>
          <w:p>
            <w:pPr>
              <w:numPr>
                <w:ilvl w:val="0"/>
                <w:numId w:val="0"/>
              </w:numPr>
              <w:adjustRightInd w:val="0"/>
              <w:snapToGrid w:val="0"/>
              <w:spacing w:line="360" w:lineRule="auto"/>
              <w:ind w:firstLine="480" w:firstLineChars="200"/>
              <w:jc w:val="both"/>
              <w:rPr>
                <w:rFonts w:hint="default" w:cs="Times New Roman"/>
                <w:b w:val="0"/>
                <w:bCs w:val="0"/>
                <w:sz w:val="24"/>
                <w:szCs w:val="24"/>
                <w:lang w:val="en-US" w:eastAsia="zh-CN"/>
              </w:rPr>
            </w:pPr>
            <w:r>
              <w:rPr>
                <w:rFonts w:hint="eastAsia" w:cs="Times New Roman"/>
                <w:b w:val="0"/>
                <w:bCs w:val="0"/>
                <w:sz w:val="24"/>
                <w:szCs w:val="24"/>
                <w:lang w:val="en-US" w:eastAsia="zh-CN"/>
              </w:rPr>
              <w:t>2）胶合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b w:val="0"/>
                <w:bCs w:val="0"/>
                <w:sz w:val="24"/>
                <w:szCs w:val="24"/>
                <w:lang w:val="en-US" w:eastAsia="zh-CN"/>
              </w:rPr>
            </w:pPr>
            <w:r>
              <w:rPr>
                <w:rFonts w:hint="eastAsia" w:cs="Times New Roman"/>
                <w:b w:val="0"/>
                <w:bCs w:val="0"/>
                <w:sz w:val="24"/>
                <w:szCs w:val="24"/>
                <w:lang w:val="en-US" w:eastAsia="zh-CN"/>
              </w:rPr>
              <w:t>将紫外光胶涂在</w:t>
            </w:r>
            <w:r>
              <w:rPr>
                <w:rFonts w:hint="default" w:ascii="Times New Roman" w:hAnsi="Times New Roman" w:eastAsia="宋体" w:cs="Times New Roman"/>
                <w:b w:val="0"/>
                <w:bCs w:val="0"/>
                <w:kern w:val="2"/>
                <w:sz w:val="24"/>
                <w:szCs w:val="24"/>
                <w:lang w:val="en-US" w:eastAsia="zh-CN" w:bidi="ar-SA"/>
              </w:rPr>
              <w:t>光学玻璃</w:t>
            </w:r>
            <w:r>
              <w:rPr>
                <w:rFonts w:hint="eastAsia" w:cs="Times New Roman"/>
                <w:b w:val="0"/>
                <w:bCs w:val="0"/>
                <w:kern w:val="2"/>
                <w:sz w:val="24"/>
                <w:szCs w:val="24"/>
                <w:lang w:val="en-US" w:eastAsia="zh-CN" w:bidi="ar-SA"/>
              </w:rPr>
              <w:t>和电路板</w:t>
            </w:r>
            <w:r>
              <w:rPr>
                <w:rFonts w:hint="eastAsia" w:cs="Times New Roman"/>
                <w:b w:val="0"/>
                <w:bCs w:val="0"/>
                <w:sz w:val="24"/>
                <w:szCs w:val="24"/>
                <w:lang w:val="en-US" w:eastAsia="zh-CN"/>
              </w:rPr>
              <w:t>上，在紫外线照射下使其粘合在一起。此过程会产生有机废气和噪声。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3）外协机加工和外协移印</w:t>
            </w:r>
          </w:p>
          <w:p>
            <w:pPr>
              <w:pStyle w:val="34"/>
              <w:numPr>
                <w:ilvl w:val="0"/>
                <w:numId w:val="0"/>
              </w:numPr>
              <w:ind w:firstLine="480" w:firstLineChars="200"/>
              <w:jc w:val="both"/>
              <w:rPr>
                <w:rFonts w:hint="default" w:ascii="Times New Roman" w:hAnsi="Times New Roman" w:eastAsia="宋体" w:cs="Times New Roman"/>
                <w:b w:val="0"/>
                <w:bCs w:val="0"/>
                <w:kern w:val="2"/>
                <w:sz w:val="24"/>
                <w:szCs w:val="24"/>
                <w:lang w:val="en-US" w:eastAsia="zh-CN" w:bidi="ar-SA"/>
              </w:rPr>
            </w:pPr>
            <w:r>
              <w:rPr>
                <w:rFonts w:hint="eastAsia" w:cs="Times New Roman"/>
                <w:b w:val="0"/>
                <w:bCs w:val="0"/>
                <w:sz w:val="24"/>
                <w:szCs w:val="24"/>
                <w:lang w:val="en-US" w:eastAsia="zh-CN"/>
              </w:rPr>
              <w:t>将结构塑胶成型件、结构金属成型件等原材料进行机加工和移印形成产品所需的规格，</w:t>
            </w:r>
            <w:r>
              <w:rPr>
                <w:rFonts w:hint="eastAsia" w:hAnsi="Times New Roman" w:cs="Times New Roman"/>
                <w:b w:val="0"/>
                <w:bCs w:val="0"/>
                <w:kern w:val="2"/>
                <w:sz w:val="24"/>
                <w:szCs w:val="24"/>
                <w:lang w:val="en-US" w:eastAsia="zh-CN" w:bidi="ar-SA"/>
              </w:rPr>
              <w:t>此工序</w:t>
            </w:r>
            <w:r>
              <w:rPr>
                <w:rFonts w:hint="default" w:ascii="Times New Roman" w:hAnsi="Times New Roman" w:eastAsia="宋体" w:cs="Times New Roman"/>
                <w:b w:val="0"/>
                <w:bCs w:val="0"/>
                <w:kern w:val="2"/>
                <w:sz w:val="24"/>
                <w:szCs w:val="24"/>
                <w:lang w:val="en-US" w:eastAsia="zh-CN" w:bidi="ar-SA"/>
              </w:rPr>
              <w:t>为</w:t>
            </w:r>
            <w:r>
              <w:rPr>
                <w:rFonts w:hint="eastAsia" w:hAnsi="Times New Roman" w:cs="Times New Roman"/>
                <w:b w:val="0"/>
                <w:bCs w:val="0"/>
                <w:kern w:val="2"/>
                <w:sz w:val="24"/>
                <w:szCs w:val="24"/>
                <w:lang w:val="en-US" w:eastAsia="zh-CN" w:bidi="ar-SA"/>
              </w:rPr>
              <w:t>委外工序，产生的污染物不计入本项目分析范围</w:t>
            </w:r>
            <w:r>
              <w:rPr>
                <w:rFonts w:hint="default" w:ascii="Times New Roman" w:hAnsi="Times New Roman" w:eastAsia="宋体" w:cs="Times New Roman"/>
                <w:b w:val="0"/>
                <w:bCs w:val="0"/>
                <w:kern w:val="2"/>
                <w:sz w:val="24"/>
                <w:szCs w:val="24"/>
                <w:lang w:val="en-US" w:eastAsia="zh-CN" w:bidi="ar-SA"/>
              </w:rPr>
              <w:t>。</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4）点胶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eastAsia" w:cs="Times New Roman"/>
                <w:b w:val="0"/>
                <w:bCs w:val="0"/>
                <w:color w:val="FF0000"/>
                <w:sz w:val="24"/>
                <w:szCs w:val="24"/>
                <w:lang w:val="en-US" w:eastAsia="zh-CN"/>
              </w:rPr>
            </w:pPr>
            <w:r>
              <w:rPr>
                <w:rFonts w:hint="eastAsia" w:cs="Times New Roman"/>
                <w:b w:val="0"/>
                <w:bCs w:val="0"/>
                <w:color w:val="FF0000"/>
                <w:sz w:val="24"/>
                <w:szCs w:val="24"/>
                <w:lang w:val="en-US" w:eastAsia="zh-CN"/>
              </w:rPr>
              <w:t>通过点胶机里的硅胶胶水对胶合好的半成品进一步固定，有机硅胶是单组份胶粘剂，只要把胶挤在需要粘接的基材中，不需要特殊处理就会自动发生固化。此过程会产生有机废气和噪声。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5）超声波清洗</w:t>
            </w:r>
          </w:p>
          <w:p>
            <w:pPr>
              <w:numPr>
                <w:ilvl w:val="0"/>
                <w:numId w:val="0"/>
              </w:numPr>
              <w:adjustRightInd w:val="0"/>
              <w:snapToGrid w:val="0"/>
              <w:spacing w:line="360" w:lineRule="auto"/>
              <w:ind w:firstLine="480" w:firstLineChars="20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根据产品需求，将</w:t>
            </w:r>
            <w:r>
              <w:rPr>
                <w:rFonts w:hint="eastAsia" w:cs="Times New Roman"/>
                <w:b w:val="0"/>
                <w:bCs w:val="0"/>
                <w:sz w:val="24"/>
                <w:szCs w:val="24"/>
                <w:lang w:val="en-US" w:eastAsia="zh-CN"/>
              </w:rPr>
              <w:t>点胶好的半成品用</w:t>
            </w:r>
            <w:r>
              <w:rPr>
                <w:rFonts w:hint="eastAsia" w:ascii="Times New Roman" w:hAnsi="Times New Roman" w:cs="Times New Roman"/>
                <w:b w:val="0"/>
                <w:bCs w:val="0"/>
                <w:sz w:val="24"/>
                <w:szCs w:val="24"/>
                <w:lang w:val="en-US" w:eastAsia="zh-CN"/>
              </w:rPr>
              <w:t>超声波清洗机进行清洗，</w:t>
            </w:r>
            <w:r>
              <w:rPr>
                <w:rFonts w:hint="eastAsia" w:ascii="Times New Roman" w:hAnsi="Times New Roman" w:cs="Times New Roman"/>
                <w:b w:val="0"/>
                <w:bCs w:val="0"/>
                <w:color w:val="FF0000"/>
                <w:sz w:val="24"/>
                <w:szCs w:val="24"/>
                <w:lang w:val="en-US" w:eastAsia="zh-CN"/>
              </w:rPr>
              <w:t>清洗工序</w:t>
            </w:r>
            <w:r>
              <w:rPr>
                <w:rFonts w:hint="eastAsia" w:cs="Times New Roman"/>
                <w:b w:val="0"/>
                <w:bCs w:val="0"/>
                <w:color w:val="FF0000"/>
                <w:sz w:val="24"/>
                <w:szCs w:val="24"/>
                <w:lang w:val="en-US" w:eastAsia="zh-CN"/>
              </w:rPr>
              <w:t>使用纯水</w:t>
            </w:r>
            <w:r>
              <w:rPr>
                <w:rFonts w:hint="eastAsia" w:ascii="Times New Roman" w:hAnsi="Times New Roman" w:cs="Times New Roman"/>
                <w:b w:val="0"/>
                <w:bCs w:val="0"/>
                <w:color w:val="FF0000"/>
                <w:sz w:val="24"/>
                <w:szCs w:val="24"/>
                <w:lang w:val="en-US" w:eastAsia="zh-CN"/>
              </w:rPr>
              <w:t>清洗</w:t>
            </w:r>
            <w:r>
              <w:rPr>
                <w:rFonts w:hint="eastAsia" w:cs="Times New Roman"/>
                <w:b w:val="0"/>
                <w:bCs w:val="0"/>
                <w:color w:val="FF0000"/>
                <w:sz w:val="24"/>
                <w:szCs w:val="24"/>
                <w:lang w:val="en-US" w:eastAsia="zh-CN"/>
              </w:rPr>
              <w:t>，不使用清洁剂，</w:t>
            </w:r>
            <w:r>
              <w:rPr>
                <w:rFonts w:hint="eastAsia" w:ascii="Times New Roman" w:hAnsi="Times New Roman" w:cs="Times New Roman"/>
                <w:b w:val="0"/>
                <w:bCs w:val="0"/>
                <w:sz w:val="24"/>
                <w:szCs w:val="24"/>
                <w:lang w:val="en-US" w:eastAsia="zh-CN"/>
              </w:rPr>
              <w:t>此工序会产生清洗废水和噪声。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6）烘干</w:t>
            </w:r>
          </w:p>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清洗后的</w:t>
            </w:r>
            <w:r>
              <w:rPr>
                <w:rFonts w:hint="eastAsia" w:eastAsia="宋体" w:cs="Times New Roman"/>
                <w:b w:val="0"/>
                <w:bCs w:val="0"/>
                <w:kern w:val="2"/>
                <w:sz w:val="24"/>
                <w:szCs w:val="24"/>
                <w:lang w:val="en-US" w:eastAsia="zh-CN" w:bidi="ar-SA"/>
              </w:rPr>
              <w:t>半成品</w:t>
            </w:r>
            <w:r>
              <w:rPr>
                <w:rFonts w:hint="default" w:ascii="Times New Roman" w:hAnsi="Times New Roman" w:eastAsia="宋体" w:cs="Times New Roman"/>
                <w:b w:val="0"/>
                <w:bCs w:val="0"/>
                <w:kern w:val="2"/>
                <w:sz w:val="24"/>
                <w:szCs w:val="24"/>
                <w:lang w:val="en-US" w:eastAsia="zh-CN" w:bidi="ar-SA"/>
              </w:rPr>
              <w:t>通过</w:t>
            </w:r>
            <w:r>
              <w:rPr>
                <w:rFonts w:hint="eastAsia" w:ascii="Times New Roman" w:hAnsi="Times New Roman" w:eastAsia="宋体" w:cs="Times New Roman"/>
                <w:b w:val="0"/>
                <w:bCs w:val="0"/>
                <w:kern w:val="2"/>
                <w:sz w:val="24"/>
                <w:szCs w:val="24"/>
                <w:lang w:val="en-US" w:eastAsia="zh-CN" w:bidi="ar-SA"/>
              </w:rPr>
              <w:t>洁净烘干箱烘干，烘干温度为50-60℃</w:t>
            </w:r>
            <w:r>
              <w:rPr>
                <w:rFonts w:hint="default" w:ascii="Times New Roman" w:hAnsi="Times New Roman" w:eastAsia="宋体" w:cs="Times New Roman"/>
                <w:b w:val="0"/>
                <w:bCs w:val="0"/>
                <w:kern w:val="2"/>
                <w:sz w:val="24"/>
                <w:szCs w:val="24"/>
                <w:lang w:val="en-US" w:eastAsia="zh-CN" w:bidi="ar-SA"/>
              </w:rPr>
              <w:t>，此过程会产生噪声。</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7）模组装配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cs="Times New Roman"/>
                <w:b w:val="0"/>
                <w:bCs w:val="0"/>
                <w:sz w:val="24"/>
                <w:szCs w:val="24"/>
                <w:lang w:val="en-US" w:eastAsia="zh-CN"/>
              </w:rPr>
            </w:pPr>
            <w:r>
              <w:rPr>
                <w:rFonts w:hint="eastAsia" w:cs="Times New Roman"/>
                <w:b w:val="0"/>
                <w:bCs w:val="0"/>
                <w:sz w:val="24"/>
                <w:szCs w:val="24"/>
                <w:lang w:val="en-US" w:eastAsia="zh-CN"/>
              </w:rPr>
              <w:t>将烘干好的半成品与外协件（加工好的结构塑胶成型件、结构金属成型件等）装配成XR光学模组。装配过程中使用酒精擦拭组件。此过程会产生有机废气、废无尘布和废手套。</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8）模组测试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模组装配完成后，对其进行整机测试，保证合格。此过程会产生不合格品。</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9）包装入库</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整机老化完成的产品包装入库，待售。此过程会产生废包装材料。</w:t>
            </w: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p>
          <w:p>
            <w:pPr>
              <w:adjustRightInd w:val="0"/>
              <w:snapToGrid w:val="0"/>
              <w:spacing w:line="360" w:lineRule="auto"/>
              <w:ind w:firstLine="480" w:firstLineChars="200"/>
              <w:jc w:val="left"/>
              <w:rPr>
                <w:rFonts w:hint="eastAsia" w:ascii="宋体" w:hAnsi="宋体"/>
                <w:bCs/>
                <w:sz w:val="24"/>
                <w:szCs w:val="24"/>
                <w:lang w:eastAsia="zh-CN"/>
              </w:rPr>
            </w:pPr>
            <w:r>
              <w:rPr>
                <w:rFonts w:hint="eastAsia" w:ascii="宋体" w:hAnsi="宋体"/>
                <w:bCs/>
                <w:sz w:val="24"/>
                <w:szCs w:val="24"/>
                <w:lang w:eastAsia="zh-CN"/>
              </w:rPr>
              <w:t>（</w:t>
            </w:r>
            <w:r>
              <w:rPr>
                <w:rFonts w:hint="eastAsia" w:ascii="宋体" w:hAnsi="宋体"/>
                <w:bCs/>
                <w:sz w:val="24"/>
                <w:szCs w:val="24"/>
                <w:lang w:val="en-US" w:eastAsia="zh-CN"/>
              </w:rPr>
              <w:t>2</w:t>
            </w:r>
            <w:r>
              <w:rPr>
                <w:rFonts w:hint="eastAsia" w:ascii="宋体" w:hAnsi="宋体"/>
                <w:bCs/>
                <w:sz w:val="24"/>
                <w:szCs w:val="24"/>
                <w:lang w:eastAsia="zh-CN"/>
              </w:rPr>
              <w:t>）项目远像光屏核心组件的生产加工工艺流程及产污环节如下图。</w:t>
            </w:r>
          </w:p>
          <w:p>
            <w:pPr>
              <w:pStyle w:val="26"/>
              <w:ind w:left="0" w:leftChars="0" w:firstLine="0" w:firstLineChars="0"/>
              <w:jc w:val="center"/>
              <w:rPr>
                <w:sz w:val="24"/>
              </w:rPr>
            </w:pPr>
            <w:r>
              <w:rPr>
                <w:sz w:val="24"/>
              </w:rPr>
              <w:object>
                <v:shape id="_x0000_i1026" o:spt="75" type="#_x0000_t75" style="height:311.65pt;width:257.35pt;" o:ole="t" filled="f" o:preferrelative="t" stroked="f" coordsize="21600,21600">
                  <v:path/>
                  <v:fill on="f" focussize="0,0"/>
                  <v:stroke on="f"/>
                  <v:imagedata r:id="rId13" o:title=""/>
                  <o:lock v:ext="edit" aspectratio="f"/>
                  <w10:wrap type="none"/>
                  <w10:anchorlock/>
                </v:shape>
                <o:OLEObject Type="Embed" ProgID="Visio.Drawing.11" ShapeID="_x0000_i1026" DrawAspect="Content" ObjectID="_1468075726" r:id="rId12">
                  <o:LockedField>false</o:LockedField>
                </o:OLEObject>
              </w:object>
            </w:r>
          </w:p>
          <w:p>
            <w:pPr>
              <w:adjustRightInd w:val="0"/>
              <w:snapToGrid w:val="0"/>
              <w:spacing w:line="360" w:lineRule="auto"/>
              <w:jc w:val="center"/>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图</w:t>
            </w:r>
            <w:r>
              <w:rPr>
                <w:rFonts w:hint="eastAsia" w:cs="Times New Roman"/>
                <w:b/>
                <w:bCs/>
                <w:sz w:val="21"/>
                <w:szCs w:val="21"/>
                <w:lang w:val="en-US" w:eastAsia="zh-CN"/>
              </w:rPr>
              <w:t>2-3</w:t>
            </w:r>
            <w:r>
              <w:rPr>
                <w:rFonts w:hint="eastAsia" w:ascii="Times New Roman" w:hAnsi="Times New Roman" w:cs="Times New Roman"/>
                <w:b/>
                <w:bCs/>
                <w:sz w:val="21"/>
                <w:szCs w:val="21"/>
                <w:lang w:val="en-US" w:eastAsia="zh-CN"/>
              </w:rPr>
              <w:t xml:space="preserve">  项目营运期远像光屏核心组件工艺流程及产污环节示意图</w:t>
            </w:r>
          </w:p>
          <w:p>
            <w:pPr>
              <w:adjustRightInd w:val="0"/>
              <w:snapToGrid w:val="0"/>
              <w:spacing w:line="360" w:lineRule="auto"/>
              <w:ind w:firstLine="482" w:firstLineChars="200"/>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工艺流程说明：</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1）材料超声波清洗</w:t>
            </w:r>
          </w:p>
          <w:p>
            <w:pPr>
              <w:numPr>
                <w:ilvl w:val="0"/>
                <w:numId w:val="0"/>
              </w:numPr>
              <w:adjustRightInd w:val="0"/>
              <w:snapToGrid w:val="0"/>
              <w:spacing w:line="360" w:lineRule="auto"/>
              <w:ind w:firstLine="480" w:firstLineChars="20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根据产品需求，将外购的</w:t>
            </w:r>
            <w:r>
              <w:rPr>
                <w:rFonts w:hint="eastAsia" w:cs="Times New Roman"/>
                <w:b w:val="0"/>
                <w:bCs w:val="0"/>
                <w:sz w:val="24"/>
                <w:szCs w:val="24"/>
                <w:lang w:val="en-US" w:eastAsia="zh-CN"/>
              </w:rPr>
              <w:t>原料</w:t>
            </w:r>
            <w:r>
              <w:rPr>
                <w:rFonts w:hint="eastAsia" w:ascii="Times New Roman" w:hAnsi="Times New Roman" w:cs="Times New Roman"/>
                <w:b w:val="0"/>
                <w:bCs w:val="0"/>
                <w:sz w:val="24"/>
                <w:szCs w:val="24"/>
                <w:lang w:val="en-US" w:eastAsia="zh-CN"/>
              </w:rPr>
              <w:t>用超声波清洗机进行清洗，</w:t>
            </w:r>
            <w:r>
              <w:rPr>
                <w:rFonts w:hint="eastAsia" w:ascii="Times New Roman" w:hAnsi="Times New Roman" w:cs="Times New Roman"/>
                <w:b w:val="0"/>
                <w:bCs w:val="0"/>
                <w:color w:val="FF0000"/>
                <w:sz w:val="24"/>
                <w:szCs w:val="24"/>
                <w:lang w:val="en-US" w:eastAsia="zh-CN"/>
              </w:rPr>
              <w:t>清洗工序</w:t>
            </w:r>
            <w:r>
              <w:rPr>
                <w:rFonts w:hint="eastAsia" w:cs="Times New Roman"/>
                <w:b w:val="0"/>
                <w:bCs w:val="0"/>
                <w:color w:val="FF0000"/>
                <w:sz w:val="24"/>
                <w:szCs w:val="24"/>
                <w:lang w:val="en-US" w:eastAsia="zh-CN"/>
              </w:rPr>
              <w:t>使用纯水</w:t>
            </w:r>
            <w:r>
              <w:rPr>
                <w:rFonts w:hint="eastAsia" w:ascii="Times New Roman" w:hAnsi="Times New Roman" w:cs="Times New Roman"/>
                <w:b w:val="0"/>
                <w:bCs w:val="0"/>
                <w:color w:val="FF0000"/>
                <w:sz w:val="24"/>
                <w:szCs w:val="24"/>
                <w:lang w:val="en-US" w:eastAsia="zh-CN"/>
              </w:rPr>
              <w:t>清洗</w:t>
            </w:r>
            <w:r>
              <w:rPr>
                <w:rFonts w:hint="eastAsia" w:cs="Times New Roman"/>
                <w:b w:val="0"/>
                <w:bCs w:val="0"/>
                <w:color w:val="FF0000"/>
                <w:sz w:val="24"/>
                <w:szCs w:val="24"/>
                <w:lang w:val="en-US" w:eastAsia="zh-CN"/>
              </w:rPr>
              <w:t>，不使用清洗剂，</w:t>
            </w:r>
            <w:r>
              <w:rPr>
                <w:rFonts w:hint="eastAsia" w:ascii="Times New Roman" w:hAnsi="Times New Roman" w:cs="Times New Roman"/>
                <w:b w:val="0"/>
                <w:bCs w:val="0"/>
                <w:sz w:val="24"/>
                <w:szCs w:val="24"/>
                <w:lang w:val="en-US" w:eastAsia="zh-CN"/>
              </w:rPr>
              <w:t>此工序会产生清洗废水和噪声。</w:t>
            </w:r>
          </w:p>
          <w:p>
            <w:pPr>
              <w:numPr>
                <w:ilvl w:val="0"/>
                <w:numId w:val="0"/>
              </w:numPr>
              <w:adjustRightInd w:val="0"/>
              <w:snapToGrid w:val="0"/>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2）烘干</w:t>
            </w:r>
          </w:p>
          <w:p>
            <w:pPr>
              <w:pStyle w:val="2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清洗后的原料</w:t>
            </w:r>
            <w:r>
              <w:rPr>
                <w:rFonts w:hint="default" w:ascii="Times New Roman" w:hAnsi="Times New Roman" w:eastAsia="宋体" w:cs="Times New Roman"/>
                <w:b w:val="0"/>
                <w:bCs w:val="0"/>
                <w:kern w:val="2"/>
                <w:sz w:val="24"/>
                <w:szCs w:val="24"/>
                <w:lang w:val="en-US" w:eastAsia="zh-CN" w:bidi="ar-SA"/>
              </w:rPr>
              <w:t>通过</w:t>
            </w:r>
            <w:r>
              <w:rPr>
                <w:rFonts w:hint="eastAsia" w:ascii="Times New Roman" w:hAnsi="Times New Roman" w:eastAsia="宋体" w:cs="Times New Roman"/>
                <w:b w:val="0"/>
                <w:bCs w:val="0"/>
                <w:kern w:val="2"/>
                <w:sz w:val="24"/>
                <w:szCs w:val="24"/>
                <w:lang w:val="en-US" w:eastAsia="zh-CN" w:bidi="ar-SA"/>
              </w:rPr>
              <w:t>洁净烘干箱烘干，烘干温度为50-60℃</w:t>
            </w:r>
            <w:r>
              <w:rPr>
                <w:rFonts w:hint="default" w:ascii="Times New Roman" w:hAnsi="Times New Roman" w:eastAsia="宋体" w:cs="Times New Roman"/>
                <w:b w:val="0"/>
                <w:bCs w:val="0"/>
                <w:kern w:val="2"/>
                <w:sz w:val="24"/>
                <w:szCs w:val="24"/>
                <w:lang w:val="en-US" w:eastAsia="zh-CN" w:bidi="ar-SA"/>
              </w:rPr>
              <w:t>，此过程会产生噪声。</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3）胶合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cs="Times New Roman"/>
                <w:b w:val="0"/>
                <w:bCs w:val="0"/>
                <w:sz w:val="24"/>
                <w:szCs w:val="24"/>
                <w:lang w:val="en-US" w:eastAsia="zh-CN"/>
              </w:rPr>
            </w:pPr>
            <w:r>
              <w:rPr>
                <w:rFonts w:hint="eastAsia" w:cs="Times New Roman"/>
                <w:b w:val="0"/>
                <w:bCs w:val="0"/>
                <w:sz w:val="24"/>
                <w:szCs w:val="24"/>
                <w:lang w:val="en-US" w:eastAsia="zh-CN"/>
              </w:rPr>
              <w:t>将紫外光胶涂在光学玻璃和电路板上，在紫外线照射下使其粘合在一起。此过程会产生有机废气和噪声。</w:t>
            </w:r>
          </w:p>
          <w:p>
            <w:pPr>
              <w:numPr>
                <w:ilvl w:val="0"/>
                <w:numId w:val="0"/>
              </w:numPr>
              <w:adjustRightInd w:val="0"/>
              <w:snapToGrid w:val="0"/>
              <w:spacing w:line="360" w:lineRule="auto"/>
              <w:ind w:leftChars="200"/>
              <w:jc w:val="both"/>
              <w:rPr>
                <w:rFonts w:hint="default" w:ascii="Times New Roman" w:hAnsi="Times New Roman" w:cs="Times New Roman"/>
                <w:b w:val="0"/>
                <w:bCs w:val="0"/>
                <w:sz w:val="24"/>
                <w:szCs w:val="24"/>
                <w:lang w:val="en-US" w:eastAsia="zh-CN"/>
              </w:rPr>
            </w:pPr>
            <w:r>
              <w:rPr>
                <w:rFonts w:hint="eastAsia" w:cs="Times New Roman"/>
                <w:b w:val="0"/>
                <w:bCs w:val="0"/>
                <w:sz w:val="24"/>
                <w:szCs w:val="24"/>
                <w:lang w:val="en-US" w:eastAsia="zh-CN"/>
              </w:rPr>
              <w:t>4）点胶</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通过点胶机里的硅胶胶水对胶合好的半成品进一步固定。此过程会产</w:t>
            </w:r>
          </w:p>
          <w:p>
            <w:pPr>
              <w:numPr>
                <w:ilvl w:val="0"/>
                <w:numId w:val="0"/>
              </w:numPr>
              <w:adjustRightInd w:val="0"/>
              <w:snapToGrid w:val="0"/>
              <w:spacing w:line="360" w:lineRule="auto"/>
              <w:jc w:val="both"/>
              <w:rPr>
                <w:rFonts w:hint="eastAsia" w:cs="Times New Roman"/>
                <w:b w:val="0"/>
                <w:bCs w:val="0"/>
                <w:sz w:val="24"/>
                <w:szCs w:val="24"/>
                <w:lang w:val="en-US" w:eastAsia="zh-CN"/>
              </w:rPr>
            </w:pPr>
            <w:r>
              <w:rPr>
                <w:rFonts w:hint="eastAsia" w:cs="Times New Roman"/>
                <w:b w:val="0"/>
                <w:bCs w:val="0"/>
                <w:sz w:val="24"/>
                <w:szCs w:val="24"/>
                <w:lang w:val="en-US" w:eastAsia="zh-CN"/>
              </w:rPr>
              <w:t>生有机废气和噪声。</w:t>
            </w:r>
          </w:p>
          <w:p>
            <w:pPr>
              <w:numPr>
                <w:ilvl w:val="0"/>
                <w:numId w:val="0"/>
              </w:numPr>
              <w:adjustRightInd w:val="0"/>
              <w:snapToGrid w:val="0"/>
              <w:spacing w:line="360" w:lineRule="auto"/>
              <w:ind w:left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5）模组装配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cs="Times New Roman"/>
                <w:b w:val="0"/>
                <w:bCs w:val="0"/>
                <w:sz w:val="24"/>
                <w:szCs w:val="24"/>
                <w:lang w:val="en-US" w:eastAsia="zh-CN"/>
              </w:rPr>
            </w:pPr>
            <w:r>
              <w:rPr>
                <w:rFonts w:hint="eastAsia" w:cs="Times New Roman"/>
                <w:b w:val="0"/>
                <w:bCs w:val="0"/>
                <w:sz w:val="24"/>
                <w:szCs w:val="24"/>
                <w:lang w:val="en-US" w:eastAsia="zh-CN"/>
              </w:rPr>
              <w:t>先用无尘布蘸酒精将点胶好的半成品擦拭干净，与组件（结构塑胶成型件、结构金属成型件）按设计规格进行组装。此过程会产生有机废气、废无尘布和废手套。</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6）测试</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人工检测模组是否存在脏污，是否装配完全，保证合格。此过程会产生不合格品。</w:t>
            </w:r>
          </w:p>
          <w:p>
            <w:pPr>
              <w:numPr>
                <w:ilvl w:val="0"/>
                <w:numId w:val="0"/>
              </w:numPr>
              <w:adjustRightInd w:val="0"/>
              <w:snapToGrid w:val="0"/>
              <w:spacing w:line="360" w:lineRule="auto"/>
              <w:ind w:left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7）整机装配、测试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模组测试完成后，对其进行整机组装配置，组装完后进行测试，保证合格。此过程会产生不合格品。</w:t>
            </w:r>
          </w:p>
          <w:p>
            <w:pPr>
              <w:numPr>
                <w:ilvl w:val="0"/>
                <w:numId w:val="0"/>
              </w:numPr>
              <w:adjustRightInd w:val="0"/>
              <w:snapToGrid w:val="0"/>
              <w:spacing w:line="360" w:lineRule="auto"/>
              <w:ind w:firstLine="480" w:firstLineChars="200"/>
              <w:jc w:val="left"/>
              <w:rPr>
                <w:rFonts w:hint="eastAsia" w:cs="Times New Roman"/>
                <w:b w:val="0"/>
                <w:bCs w:val="0"/>
                <w:sz w:val="24"/>
                <w:szCs w:val="24"/>
                <w:lang w:val="en-US" w:eastAsia="zh-CN"/>
              </w:rPr>
            </w:pPr>
            <w:r>
              <w:rPr>
                <w:rFonts w:hint="eastAsia" w:cs="Times New Roman"/>
                <w:b w:val="0"/>
                <w:bCs w:val="0"/>
                <w:sz w:val="24"/>
                <w:szCs w:val="24"/>
                <w:lang w:val="en-US" w:eastAsia="zh-CN"/>
              </w:rPr>
              <w:t>8）整机老化</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整机产品总装调试完毕后，按一定的技术规定对整机实施较长时间的连续通电考验，即加电老化试验。加电老化的目的是通过老化发现并剔除早期失效的电子元器件，提高电子设备工作可靠性及使用寿命，同时稳定整机参数，保证调试质量。此过程会产生不合格品。</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9）包装入库</w:t>
            </w:r>
          </w:p>
          <w:p>
            <w:pPr>
              <w:numPr>
                <w:ilvl w:val="0"/>
                <w:numId w:val="0"/>
              </w:numPr>
              <w:adjustRightInd w:val="0"/>
              <w:snapToGrid w:val="0"/>
              <w:spacing w:line="360" w:lineRule="auto"/>
              <w:ind w:firstLine="480" w:firstLineChars="200"/>
              <w:jc w:val="left"/>
              <w:rPr>
                <w:rFonts w:hint="default" w:cs="Times New Roman"/>
                <w:b w:val="0"/>
                <w:bCs w:val="0"/>
                <w:sz w:val="24"/>
                <w:szCs w:val="24"/>
                <w:lang w:val="en-US" w:eastAsia="zh-CN"/>
              </w:rPr>
            </w:pPr>
            <w:r>
              <w:rPr>
                <w:rFonts w:hint="eastAsia" w:cs="Times New Roman"/>
                <w:b w:val="0"/>
                <w:bCs w:val="0"/>
                <w:sz w:val="24"/>
                <w:szCs w:val="24"/>
                <w:lang w:val="en-US" w:eastAsia="zh-CN"/>
              </w:rPr>
              <w:t>整机老化完成的产品包装入库，待售。此过程会产生废包装材料。</w:t>
            </w:r>
          </w:p>
          <w:p>
            <w:pPr>
              <w:spacing w:line="360" w:lineRule="auto"/>
              <w:ind w:firstLine="470" w:firstLineChars="196"/>
              <w:rPr>
                <w:rFonts w:hint="eastAsia"/>
                <w:sz w:val="24"/>
                <w:highlight w:val="none"/>
              </w:rPr>
            </w:pPr>
            <w:r>
              <w:rPr>
                <w:rFonts w:hint="eastAsia"/>
                <w:sz w:val="24"/>
                <w:highlight w:val="none"/>
                <w:lang w:eastAsia="zh-CN"/>
              </w:rPr>
              <w:t>（</w:t>
            </w:r>
            <w:r>
              <w:rPr>
                <w:rFonts w:hint="eastAsia"/>
                <w:sz w:val="24"/>
                <w:highlight w:val="none"/>
                <w:lang w:val="en-US" w:eastAsia="zh-CN"/>
              </w:rPr>
              <w:t>3</w:t>
            </w:r>
            <w:r>
              <w:rPr>
                <w:rFonts w:hint="eastAsia"/>
                <w:sz w:val="24"/>
                <w:highlight w:val="none"/>
                <w:lang w:eastAsia="zh-CN"/>
              </w:rPr>
              <w:t>）</w:t>
            </w:r>
            <w:r>
              <w:rPr>
                <w:rFonts w:hint="eastAsia"/>
                <w:sz w:val="24"/>
                <w:highlight w:val="none"/>
              </w:rPr>
              <w:t>纯水制备工艺流程如下图所示：</w:t>
            </w:r>
          </w:p>
          <w:p>
            <w:pPr>
              <w:spacing w:line="360" w:lineRule="auto"/>
              <w:ind w:firstLine="470" w:firstLineChars="19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27" o:spt="75" type="#_x0000_t75" style="height:202.5pt;width:171.45pt;" o:ole="t" filled="f" o:preferrelative="t" stroked="f" coordsize="21600,21600">
                  <v:path/>
                  <v:fill on="f" focussize="0,0"/>
                  <v:stroke on="f"/>
                  <v:imagedata r:id="rId15" o:title=""/>
                  <o:lock v:ext="edit" aspectratio="f"/>
                  <w10:wrap type="none"/>
                  <w10:anchorlock/>
                </v:shape>
                <o:OLEObject Type="Embed" ProgID="Visio.Drawing.11" ShapeID="_x0000_i1027" DrawAspect="Content" ObjectID="_1468075727" r:id="rId14">
                  <o:LockedField>false</o:LockedField>
                </o:OLEObject>
              </w:object>
            </w:r>
          </w:p>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default" w:ascii="Times New Roman" w:hAnsi="Times New Roman" w:eastAsia="宋体" w:cs="Times New Roman"/>
                <w:b/>
                <w:bCs/>
                <w:kern w:val="2"/>
                <w:sz w:val="21"/>
                <w:szCs w:val="21"/>
                <w:highlight w:val="none"/>
                <w:lang w:val="en-US" w:eastAsia="zh-CN" w:bidi="ar-SA"/>
              </w:rPr>
              <w:t>图2-</w:t>
            </w:r>
            <w:r>
              <w:rPr>
                <w:rFonts w:hint="eastAsia" w:ascii="Times New Roman" w:hAnsi="Times New Roman" w:eastAsia="宋体" w:cs="Times New Roman"/>
                <w:b/>
                <w:bCs/>
                <w:kern w:val="2"/>
                <w:sz w:val="21"/>
                <w:szCs w:val="21"/>
                <w:highlight w:val="none"/>
                <w:lang w:val="en-US" w:eastAsia="zh-CN" w:bidi="ar-SA"/>
              </w:rPr>
              <w:t>4</w:t>
            </w:r>
            <w:r>
              <w:rPr>
                <w:rFonts w:hint="default" w:ascii="Times New Roman" w:hAnsi="Times New Roman" w:eastAsia="宋体" w:cs="Times New Roman"/>
                <w:b/>
                <w:bCs/>
                <w:kern w:val="2"/>
                <w:sz w:val="21"/>
                <w:szCs w:val="21"/>
                <w:highlight w:val="none"/>
                <w:lang w:val="en-US" w:eastAsia="zh-CN" w:bidi="ar-SA"/>
              </w:rPr>
              <w:t xml:space="preserve"> 本项目</w:t>
            </w:r>
            <w:r>
              <w:rPr>
                <w:rFonts w:hint="eastAsia" w:ascii="Times New Roman" w:hAnsi="Times New Roman" w:eastAsia="宋体" w:cs="Times New Roman"/>
                <w:b/>
                <w:bCs/>
                <w:kern w:val="2"/>
                <w:sz w:val="21"/>
                <w:szCs w:val="21"/>
                <w:highlight w:val="none"/>
                <w:lang w:val="en-US" w:eastAsia="zh-CN" w:bidi="ar-SA"/>
              </w:rPr>
              <w:t>纯水制作</w:t>
            </w:r>
            <w:r>
              <w:rPr>
                <w:rFonts w:hint="default" w:ascii="Times New Roman" w:hAnsi="Times New Roman" w:eastAsia="宋体" w:cs="Times New Roman"/>
                <w:b/>
                <w:bCs/>
                <w:kern w:val="2"/>
                <w:sz w:val="21"/>
                <w:szCs w:val="21"/>
                <w:highlight w:val="none"/>
                <w:lang w:val="en-US" w:eastAsia="zh-CN" w:bidi="ar-SA"/>
              </w:rPr>
              <w:t>工艺流程图</w:t>
            </w:r>
          </w:p>
          <w:p>
            <w:pPr>
              <w:pStyle w:val="22"/>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纯水制作工艺：采用自来水作为原料，经过过滤棉、砂柱、碳柱过滤后，再通过RO渗透膜处理得到纯水。在纯水制备生产过程中随着滤料层截取的杂质越多，纯水制备效率下降，需要定期更换滤料（废滤料及</w:t>
            </w:r>
            <w:r>
              <w:rPr>
                <w:rFonts w:hint="eastAsia" w:ascii="Times New Roman" w:hAnsi="Times New Roman" w:cs="Times New Roman"/>
                <w:sz w:val="24"/>
                <w:szCs w:val="24"/>
                <w:lang w:val="en-US" w:eastAsia="zh-CN"/>
              </w:rPr>
              <w:t>废</w:t>
            </w:r>
            <w:r>
              <w:rPr>
                <w:rFonts w:hint="default" w:ascii="Times New Roman" w:hAnsi="Times New Roman" w:cs="Times New Roman"/>
                <w:sz w:val="24"/>
                <w:szCs w:val="24"/>
                <w:lang w:val="en-US" w:eastAsia="zh-CN"/>
              </w:rPr>
              <w:t>RO膜由</w:t>
            </w:r>
            <w:r>
              <w:rPr>
                <w:rFonts w:hint="eastAsia" w:ascii="Times New Roman" w:hAnsi="Times New Roman" w:eastAsia="宋体" w:cs="Times New Roman"/>
                <w:b w:val="0"/>
                <w:bCs w:val="0"/>
                <w:color w:val="auto"/>
                <w:kern w:val="2"/>
                <w:sz w:val="24"/>
                <w:szCs w:val="24"/>
                <w:lang w:val="en-US" w:eastAsia="zh-CN" w:bidi="ar-SA"/>
              </w:rPr>
              <w:t>资源回收单位回收</w:t>
            </w:r>
            <w:r>
              <w:rPr>
                <w:rFonts w:hint="default" w:ascii="Times New Roman" w:hAnsi="Times New Roman" w:cs="Times New Roman"/>
                <w:sz w:val="24"/>
                <w:szCs w:val="24"/>
                <w:lang w:val="en-US" w:eastAsia="zh-CN"/>
              </w:rPr>
              <w:t>），确保纯水制备装置处于最佳产水范围。</w:t>
            </w:r>
          </w:p>
          <w:p>
            <w:pPr>
              <w:pStyle w:val="70"/>
              <w:bidi w:val="0"/>
              <w:rPr>
                <w:rFonts w:hint="eastAsia" w:ascii="Times New Roman" w:hAnsi="Times New Roman" w:eastAsia="宋体" w:cs="宋体"/>
                <w:b/>
                <w:bCs/>
                <w:color w:val="auto"/>
              </w:rPr>
            </w:pPr>
            <w:r>
              <w:rPr>
                <w:rFonts w:hint="eastAsia" w:cs="宋体"/>
                <w:b/>
                <w:bCs/>
                <w:color w:val="auto"/>
                <w:lang w:val="en-US" w:eastAsia="zh-CN"/>
              </w:rPr>
              <w:t>2</w:t>
            </w:r>
            <w:r>
              <w:rPr>
                <w:rFonts w:hint="eastAsia" w:ascii="Times New Roman" w:hAnsi="Times New Roman" w:eastAsia="宋体" w:cs="宋体"/>
                <w:b/>
                <w:bCs/>
                <w:color w:val="auto"/>
              </w:rPr>
              <w:t>、主要污染工序</w:t>
            </w:r>
          </w:p>
          <w:p>
            <w:pPr>
              <w:pStyle w:val="70"/>
              <w:bidi w:val="0"/>
              <w:rPr>
                <w:rFonts w:ascii="Times New Roman" w:hAnsi="Times New Roman" w:eastAsia="宋体" w:cs="宋体"/>
                <w:color w:val="auto"/>
              </w:rPr>
            </w:pPr>
            <w:r>
              <w:rPr>
                <w:rFonts w:hint="eastAsia" w:ascii="Times New Roman" w:hAnsi="Times New Roman" w:eastAsia="宋体" w:cs="宋体"/>
                <w:color w:val="auto"/>
              </w:rPr>
              <w:t>本项目污染物主要产生情况详见表2-</w:t>
            </w:r>
            <w:r>
              <w:rPr>
                <w:rFonts w:hint="eastAsia" w:cs="宋体"/>
                <w:color w:val="auto"/>
                <w:lang w:val="en-US" w:eastAsia="zh-CN"/>
              </w:rPr>
              <w:t>8</w:t>
            </w:r>
            <w:r>
              <w:rPr>
                <w:rFonts w:hint="eastAsia" w:ascii="Times New Roman" w:hAnsi="Times New Roman" w:eastAsia="宋体" w:cs="宋体"/>
                <w:color w:val="auto"/>
              </w:rPr>
              <w:t>。</w:t>
            </w:r>
          </w:p>
          <w:p>
            <w:pPr>
              <w:pStyle w:val="67"/>
              <w:rPr>
                <w:rFonts w:ascii="Times New Roman" w:hAnsi="Times New Roman" w:eastAsia="宋体" w:cs="宋体"/>
                <w:color w:val="auto"/>
              </w:rPr>
            </w:pPr>
            <w:r>
              <w:rPr>
                <w:rFonts w:hint="eastAsia" w:ascii="Times New Roman" w:hAnsi="Times New Roman" w:eastAsia="宋体" w:cs="宋体"/>
                <w:color w:val="auto"/>
              </w:rPr>
              <w:t>表2-</w:t>
            </w:r>
            <w:r>
              <w:rPr>
                <w:rFonts w:hint="eastAsia" w:cs="宋体"/>
                <w:color w:val="auto"/>
                <w:lang w:val="en-US" w:eastAsia="zh-CN"/>
              </w:rPr>
              <w:t>8</w:t>
            </w:r>
            <w:r>
              <w:rPr>
                <w:rFonts w:hint="eastAsia" w:ascii="Times New Roman" w:hAnsi="Times New Roman" w:eastAsia="宋体" w:cs="宋体"/>
                <w:color w:val="auto"/>
              </w:rPr>
              <w:t xml:space="preserve"> </w:t>
            </w:r>
            <w:r>
              <w:rPr>
                <w:rFonts w:hint="default" w:ascii="Times New Roman" w:hAnsi="Times New Roman" w:cs="Times New Roman"/>
                <w:b/>
                <w:bCs/>
                <w:szCs w:val="21"/>
              </w:rPr>
              <w:t>主要污染工序一览表</w:t>
            </w:r>
          </w:p>
          <w:tbl>
            <w:tblPr>
              <w:tblStyle w:val="27"/>
              <w:tblW w:w="4998" w:type="pct"/>
              <w:jc w:val="center"/>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1138"/>
              <w:gridCol w:w="1717"/>
              <w:gridCol w:w="2766"/>
              <w:gridCol w:w="1543"/>
            </w:tblGrid>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时段</w:t>
                  </w:r>
                </w:p>
              </w:tc>
              <w:tc>
                <w:tcPr>
                  <w:tcW w:w="737"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污染类别</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污染源名称</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主要污染因子</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排放方式</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358"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营运期</w:t>
                  </w:r>
                </w:p>
              </w:tc>
              <w:tc>
                <w:tcPr>
                  <w:tcW w:w="737"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废水</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生活污水</w:t>
                  </w:r>
                </w:p>
              </w:tc>
              <w:tc>
                <w:tcPr>
                  <w:tcW w:w="1791"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rPr>
                    <w:t>pH、COD</w:t>
                  </w:r>
                  <w:r>
                    <w:rPr>
                      <w:rFonts w:hint="eastAsia" w:ascii="Times New Roman" w:hAnsi="Times New Roman" w:eastAsia="宋体" w:cs="宋体"/>
                      <w:color w:val="auto"/>
                      <w:szCs w:val="21"/>
                      <w:vertAlign w:val="subscript"/>
                    </w:rPr>
                    <w:t>Cr</w:t>
                  </w:r>
                  <w:r>
                    <w:rPr>
                      <w:rFonts w:hint="eastAsia" w:ascii="Times New Roman" w:hAnsi="Times New Roman" w:eastAsia="宋体" w:cs="宋体"/>
                      <w:color w:val="auto"/>
                      <w:szCs w:val="21"/>
                    </w:rPr>
                    <w:t>、BOD</w:t>
                  </w:r>
                  <w:r>
                    <w:rPr>
                      <w:rFonts w:hint="eastAsia" w:ascii="Times New Roman" w:hAnsi="Times New Roman" w:eastAsia="宋体" w:cs="宋体"/>
                      <w:color w:val="auto"/>
                      <w:szCs w:val="21"/>
                      <w:vertAlign w:val="subscript"/>
                    </w:rPr>
                    <w:t>5</w:t>
                  </w:r>
                  <w:r>
                    <w:rPr>
                      <w:rFonts w:hint="eastAsia" w:ascii="Times New Roman" w:hAnsi="Times New Roman" w:eastAsia="宋体" w:cs="宋体"/>
                      <w:color w:val="auto"/>
                      <w:szCs w:val="21"/>
                    </w:rPr>
                    <w:t>、SS、氨氮</w:t>
                  </w:r>
                  <w:r>
                    <w:rPr>
                      <w:rFonts w:hint="eastAsia" w:ascii="Times New Roman" w:hAnsi="Times New Roman" w:eastAsia="宋体" w:cs="宋体"/>
                      <w:color w:val="auto"/>
                      <w:szCs w:val="21"/>
                      <w:lang w:eastAsia="zh-CN"/>
                    </w:rPr>
                    <w:t>、</w:t>
                  </w:r>
                  <w:r>
                    <w:rPr>
                      <w:rFonts w:hint="eastAsia" w:ascii="Times New Roman" w:hAnsi="Times New Roman" w:eastAsia="宋体" w:cs="宋体"/>
                      <w:color w:val="auto"/>
                      <w:szCs w:val="21"/>
                      <w:lang w:val="en-US" w:eastAsia="zh-CN"/>
                    </w:rPr>
                    <w:t>动植物油</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hint="eastAsia" w:ascii="Times New Roman" w:hAnsi="Times New Roman" w:eastAsia="宋体" w:cs="宋体"/>
                      <w:color w:val="auto"/>
                      <w:szCs w:val="21"/>
                    </w:rPr>
                  </w:pPr>
                </w:p>
              </w:tc>
              <w:tc>
                <w:tcPr>
                  <w:tcW w:w="737" w:type="pct"/>
                  <w:vMerge w:val="continue"/>
                  <w:vAlign w:val="center"/>
                </w:tcPr>
                <w:p>
                  <w:pPr>
                    <w:pStyle w:val="69"/>
                    <w:rPr>
                      <w:rFonts w:hint="eastAsia"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超声波清洗废水</w:t>
                  </w:r>
                </w:p>
              </w:tc>
              <w:tc>
                <w:tcPr>
                  <w:tcW w:w="1791"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COD</w:t>
                  </w:r>
                  <w:r>
                    <w:rPr>
                      <w:rFonts w:hint="eastAsia" w:ascii="Times New Roman" w:hAnsi="Times New Roman" w:eastAsia="宋体" w:cs="宋体"/>
                      <w:color w:val="auto"/>
                      <w:szCs w:val="21"/>
                      <w:vertAlign w:val="subscript"/>
                    </w:rPr>
                    <w:t>Cr</w:t>
                  </w:r>
                  <w:r>
                    <w:rPr>
                      <w:rFonts w:hint="eastAsia" w:ascii="Times New Roman" w:hAnsi="Times New Roman" w:eastAsia="宋体" w:cs="宋体"/>
                      <w:color w:val="auto"/>
                      <w:szCs w:val="21"/>
                    </w:rPr>
                    <w:t>、SS</w:t>
                  </w:r>
                </w:p>
              </w:tc>
              <w:tc>
                <w:tcPr>
                  <w:tcW w:w="999"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hint="eastAsia" w:ascii="Times New Roman" w:hAnsi="Times New Roman" w:eastAsia="宋体" w:cs="宋体"/>
                      <w:color w:val="auto"/>
                      <w:szCs w:val="21"/>
                    </w:rPr>
                  </w:pPr>
                </w:p>
              </w:tc>
              <w:tc>
                <w:tcPr>
                  <w:tcW w:w="737" w:type="pct"/>
                  <w:vMerge w:val="continue"/>
                  <w:vAlign w:val="center"/>
                </w:tcPr>
                <w:p>
                  <w:pPr>
                    <w:pStyle w:val="69"/>
                    <w:rPr>
                      <w:rFonts w:hint="eastAsia"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cs="宋体"/>
                      <w:color w:val="auto"/>
                      <w:szCs w:val="21"/>
                      <w:lang w:val="en-US" w:eastAsia="zh-CN"/>
                    </w:rPr>
                    <w:t>纯水制备浓水</w:t>
                  </w:r>
                </w:p>
              </w:tc>
              <w:tc>
                <w:tcPr>
                  <w:tcW w:w="1791"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COD</w:t>
                  </w:r>
                  <w:r>
                    <w:rPr>
                      <w:rFonts w:hint="eastAsia" w:ascii="Times New Roman" w:hAnsi="Times New Roman" w:eastAsia="宋体" w:cs="宋体"/>
                      <w:color w:val="auto"/>
                      <w:szCs w:val="21"/>
                      <w:vertAlign w:val="subscript"/>
                    </w:rPr>
                    <w:t>Cr</w:t>
                  </w:r>
                  <w:r>
                    <w:rPr>
                      <w:rFonts w:hint="eastAsia" w:ascii="Times New Roman" w:hAnsi="Times New Roman" w:eastAsia="宋体" w:cs="宋体"/>
                      <w:color w:val="auto"/>
                      <w:szCs w:val="21"/>
                    </w:rPr>
                    <w:t>、BOD</w:t>
                  </w:r>
                  <w:r>
                    <w:rPr>
                      <w:rFonts w:hint="eastAsia" w:ascii="Times New Roman" w:hAnsi="Times New Roman" w:eastAsia="宋体" w:cs="宋体"/>
                      <w:color w:val="auto"/>
                      <w:szCs w:val="21"/>
                      <w:vertAlign w:val="subscript"/>
                    </w:rPr>
                    <w:t>5</w:t>
                  </w:r>
                </w:p>
              </w:tc>
              <w:tc>
                <w:tcPr>
                  <w:tcW w:w="999"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废气</w:t>
                  </w: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酒精擦拭废气</w:t>
                  </w:r>
                </w:p>
              </w:tc>
              <w:tc>
                <w:tcPr>
                  <w:tcW w:w="1791"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VOC</w:t>
                  </w:r>
                  <w:r>
                    <w:rPr>
                      <w:rFonts w:hint="eastAsia" w:ascii="Times New Roman" w:hAnsi="Times New Roman" w:eastAsia="宋体" w:cs="宋体"/>
                      <w:color w:val="auto"/>
                      <w:szCs w:val="21"/>
                      <w:vertAlign w:val="subscript"/>
                      <w:lang w:val="en-US" w:eastAsia="zh-CN"/>
                    </w:rPr>
                    <w:t>S</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胶合废气</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lang w:val="en-US" w:eastAsia="zh-CN"/>
                    </w:rPr>
                    <w:t>VOC</w:t>
                  </w:r>
                  <w:r>
                    <w:rPr>
                      <w:rFonts w:hint="eastAsia" w:ascii="Times New Roman" w:hAnsi="Times New Roman" w:eastAsia="宋体" w:cs="宋体"/>
                      <w:color w:val="auto"/>
                      <w:szCs w:val="21"/>
                      <w:vertAlign w:val="subscript"/>
                      <w:lang w:val="en-US" w:eastAsia="zh-CN"/>
                    </w:rPr>
                    <w:t>S</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点胶废气</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lang w:val="en-US" w:eastAsia="zh-CN"/>
                    </w:rPr>
                    <w:t>VOC</w:t>
                  </w:r>
                  <w:r>
                    <w:rPr>
                      <w:rFonts w:hint="eastAsia" w:ascii="Times New Roman" w:hAnsi="Times New Roman" w:eastAsia="宋体" w:cs="宋体"/>
                      <w:color w:val="auto"/>
                      <w:szCs w:val="21"/>
                      <w:vertAlign w:val="subscript"/>
                      <w:lang w:val="en-US" w:eastAsia="zh-CN"/>
                    </w:rPr>
                    <w:t>S</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hint="default" w:ascii="Times New Roman" w:hAnsi="Times New Roman" w:eastAsia="宋体" w:cs="宋体"/>
                      <w:color w:val="auto"/>
                      <w:szCs w:val="21"/>
                      <w:lang w:val="en-US" w:eastAsia="zh-CN"/>
                    </w:rPr>
                  </w:pPr>
                  <w:r>
                    <w:rPr>
                      <w:rFonts w:hint="eastAsia" w:cs="宋体"/>
                      <w:color w:val="auto"/>
                      <w:szCs w:val="21"/>
                      <w:lang w:val="en-US" w:eastAsia="zh-CN"/>
                    </w:rPr>
                    <w:t>食堂油烟</w:t>
                  </w:r>
                </w:p>
              </w:tc>
              <w:tc>
                <w:tcPr>
                  <w:tcW w:w="1791" w:type="pct"/>
                  <w:vAlign w:val="center"/>
                </w:tcPr>
                <w:p>
                  <w:pPr>
                    <w:pStyle w:val="69"/>
                    <w:rPr>
                      <w:rFonts w:hint="eastAsia" w:ascii="Times New Roman" w:hAnsi="Times New Roman" w:eastAsia="宋体" w:cs="宋体"/>
                      <w:color w:val="auto"/>
                      <w:szCs w:val="21"/>
                      <w:lang w:val="en-US" w:eastAsia="zh-CN"/>
                    </w:rPr>
                  </w:pPr>
                  <w:r>
                    <w:rPr>
                      <w:rFonts w:hint="eastAsia" w:cs="宋体"/>
                      <w:color w:val="auto"/>
                      <w:szCs w:val="21"/>
                      <w:lang w:val="en-US" w:eastAsia="zh-CN"/>
                    </w:rPr>
                    <w:t>食堂油烟</w:t>
                  </w:r>
                </w:p>
              </w:tc>
              <w:tc>
                <w:tcPr>
                  <w:tcW w:w="999" w:type="pct"/>
                  <w:vAlign w:val="center"/>
                </w:tcPr>
                <w:p>
                  <w:pPr>
                    <w:pStyle w:val="69"/>
                    <w:rPr>
                      <w:rFonts w:hint="eastAsia"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噪声</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设备</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设备运行噪声</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restar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固废</w:t>
                  </w: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一般固废</w:t>
                  </w:r>
                </w:p>
              </w:tc>
              <w:tc>
                <w:tcPr>
                  <w:tcW w:w="1791" w:type="pct"/>
                  <w:vAlign w:val="center"/>
                </w:tcPr>
                <w:p>
                  <w:pPr>
                    <w:pStyle w:val="69"/>
                    <w:rPr>
                      <w:rFonts w:hint="default" w:ascii="Times New Roman" w:hAnsi="Times New Roman" w:eastAsia="宋体" w:cs="宋体"/>
                      <w:color w:val="auto"/>
                      <w:szCs w:val="21"/>
                      <w:lang w:val="en-US" w:eastAsia="zh-CN"/>
                    </w:rPr>
                  </w:pPr>
                  <w:r>
                    <w:rPr>
                      <w:rFonts w:hint="default" w:ascii="Times New Roman" w:hAnsi="Times New Roman" w:eastAsia="宋体" w:cs="宋体"/>
                      <w:color w:val="auto"/>
                      <w:szCs w:val="21"/>
                      <w:lang w:val="en-US" w:eastAsia="zh-CN"/>
                    </w:rPr>
                    <w:t>废包装材料、不合格品、废滤料、废RO膜、通风系统废滤材、废玻璃</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生活垃圾</w:t>
                  </w:r>
                </w:p>
              </w:tc>
              <w:tc>
                <w:tcPr>
                  <w:tcW w:w="1791"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生活垃圾</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r>
              <w:tblPrEx>
                <w:tblBorders>
                  <w:top w:val="thinThickSmallGap" w:color="auto" w:sz="12" w:space="0"/>
                  <w:left w:val="none" w:color="auto" w:sz="0" w:space="0"/>
                  <w:bottom w:val="thinThickSmallGap"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8" w:type="pct"/>
                  <w:vMerge w:val="continue"/>
                  <w:vAlign w:val="center"/>
                </w:tcPr>
                <w:p>
                  <w:pPr>
                    <w:pStyle w:val="69"/>
                    <w:rPr>
                      <w:rFonts w:ascii="Times New Roman" w:hAnsi="Times New Roman" w:eastAsia="宋体" w:cs="宋体"/>
                      <w:color w:val="auto"/>
                      <w:szCs w:val="21"/>
                    </w:rPr>
                  </w:pPr>
                </w:p>
              </w:tc>
              <w:tc>
                <w:tcPr>
                  <w:tcW w:w="737" w:type="pct"/>
                  <w:vMerge w:val="continue"/>
                  <w:vAlign w:val="center"/>
                </w:tcPr>
                <w:p>
                  <w:pPr>
                    <w:pStyle w:val="69"/>
                    <w:rPr>
                      <w:rFonts w:ascii="Times New Roman" w:hAnsi="Times New Roman" w:eastAsia="宋体" w:cs="宋体"/>
                      <w:color w:val="auto"/>
                      <w:szCs w:val="21"/>
                    </w:rPr>
                  </w:pPr>
                </w:p>
              </w:tc>
              <w:tc>
                <w:tcPr>
                  <w:tcW w:w="1112"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危险废物</w:t>
                  </w:r>
                </w:p>
              </w:tc>
              <w:tc>
                <w:tcPr>
                  <w:tcW w:w="1791" w:type="pct"/>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ascii="Times New Roman" w:hAnsi="Times New Roman" w:eastAsia="宋体" w:cs="宋体"/>
                      <w:color w:val="auto"/>
                      <w:szCs w:val="21"/>
                    </w:rPr>
                  </w:pPr>
                  <w:r>
                    <w:rPr>
                      <w:rFonts w:hint="default" w:ascii="Times New Roman" w:hAnsi="Times New Roman" w:eastAsia="宋体" w:cs="宋体"/>
                      <w:color w:val="auto"/>
                      <w:szCs w:val="21"/>
                      <w:lang w:val="en-US" w:eastAsia="zh-CN"/>
                    </w:rPr>
                    <w:t>化学品废包装、废无尘布、废手套、废UV灯管、废机油、废电路板、废活性炭</w:t>
                  </w:r>
                </w:p>
              </w:tc>
              <w:tc>
                <w:tcPr>
                  <w:tcW w:w="999" w:type="pct"/>
                  <w:vAlign w:val="center"/>
                </w:tcPr>
                <w:p>
                  <w:pPr>
                    <w:pStyle w:val="69"/>
                    <w:rPr>
                      <w:rFonts w:ascii="Times New Roman" w:hAnsi="Times New Roman" w:eastAsia="宋体" w:cs="宋体"/>
                      <w:color w:val="auto"/>
                      <w:szCs w:val="21"/>
                    </w:rPr>
                  </w:pPr>
                  <w:r>
                    <w:rPr>
                      <w:rFonts w:hint="eastAsia" w:ascii="Times New Roman" w:hAnsi="Times New Roman" w:eastAsia="宋体" w:cs="宋体"/>
                      <w:color w:val="auto"/>
                      <w:szCs w:val="21"/>
                    </w:rPr>
                    <w:t>间断</w:t>
                  </w:r>
                </w:p>
              </w:tc>
            </w:tr>
          </w:tbl>
          <w:p>
            <w:pPr>
              <w:numPr>
                <w:ilvl w:val="0"/>
                <w:numId w:val="0"/>
              </w:numPr>
              <w:adjustRightInd w:val="0"/>
              <w:snapToGrid w:val="0"/>
              <w:spacing w:line="360" w:lineRule="auto"/>
              <w:ind w:firstLine="480" w:firstLineChars="200"/>
              <w:jc w:val="left"/>
              <w:rPr>
                <w:rFonts w:hint="default" w:ascii="Times New Roman" w:hAnsi="Times New Roman" w:cs="Times New Roman"/>
                <w:b w:val="0"/>
                <w:bCs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9" w:hRule="atLeast"/>
          <w:jc w:val="center"/>
        </w:trPr>
        <w:tc>
          <w:tcPr>
            <w:tcW w:w="703" w:type="dxa"/>
            <w:noWrap w:val="0"/>
            <w:vAlign w:val="center"/>
          </w:tcPr>
          <w:p>
            <w:pPr>
              <w:pStyle w:val="24"/>
              <w:adjustRightInd w:val="0"/>
              <w:snapToGrid w:val="0"/>
              <w:spacing w:before="0" w:beforeAutospacing="0" w:after="0" w:afterAutospacing="0"/>
              <w:jc w:val="center"/>
              <w:rPr>
                <w:rFonts w:cs="宋体"/>
                <w:sz w:val="21"/>
                <w:szCs w:val="21"/>
              </w:rPr>
            </w:pPr>
            <w:r>
              <w:rPr>
                <w:rFonts w:hint="eastAsia" w:cs="宋体"/>
                <w:bCs/>
                <w:kern w:val="2"/>
                <w:sz w:val="24"/>
                <w:szCs w:val="24"/>
              </w:rPr>
              <w:t>与项目有关的原有环境污染问题</w:t>
            </w:r>
          </w:p>
        </w:tc>
        <w:tc>
          <w:tcPr>
            <w:tcW w:w="7935" w:type="dxa"/>
            <w:noWrap w:val="0"/>
            <w:vAlign w:val="top"/>
          </w:tcPr>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ind w:firstLine="480" w:firstLineChars="200"/>
              <w:jc w:val="left"/>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本项目为新建项目，租赁位于江西省上饶经济技术开发区兴业大道21号A栋厂房</w:t>
            </w:r>
            <w:r>
              <w:rPr>
                <w:rFonts w:hint="eastAsia" w:cs="Times New Roman"/>
                <w:bCs/>
                <w:color w:val="FF0000"/>
                <w:sz w:val="24"/>
                <w:szCs w:val="24"/>
                <w:lang w:val="en-US" w:eastAsia="zh-CN"/>
              </w:rPr>
              <w:t>的二楼及一楼办公区和清洗区</w:t>
            </w:r>
            <w:r>
              <w:rPr>
                <w:rFonts w:hint="eastAsia" w:cs="Times New Roman"/>
                <w:bCs/>
                <w:color w:val="FF0000"/>
                <w:sz w:val="24"/>
                <w:szCs w:val="24"/>
                <w:lang w:eastAsia="zh-CN"/>
              </w:rPr>
              <w:t>，</w:t>
            </w:r>
            <w:r>
              <w:rPr>
                <w:rFonts w:hint="eastAsia" w:ascii="Times New Roman" w:hAnsi="Times New Roman" w:cs="Times New Roman"/>
                <w:bCs/>
                <w:color w:val="FF0000"/>
                <w:sz w:val="24"/>
                <w:szCs w:val="24"/>
                <w:highlight w:val="none"/>
                <w:lang w:val="en-US" w:eastAsia="zh-CN"/>
              </w:rPr>
              <w:t>清洗区未</w:t>
            </w:r>
            <w:r>
              <w:rPr>
                <w:rFonts w:hint="default" w:ascii="Times New Roman" w:hAnsi="Times New Roman" w:cs="Times New Roman"/>
                <w:bCs/>
                <w:color w:val="FF0000"/>
                <w:sz w:val="24"/>
                <w:szCs w:val="24"/>
                <w:highlight w:val="none"/>
                <w:lang w:val="en-US" w:eastAsia="zh-CN"/>
              </w:rPr>
              <w:t>与其他企业共用设备</w:t>
            </w:r>
            <w:r>
              <w:rPr>
                <w:rFonts w:hint="eastAsia" w:ascii="Times New Roman" w:hAnsi="Times New Roman" w:cs="Times New Roman"/>
                <w:bCs/>
                <w:color w:val="FF0000"/>
                <w:sz w:val="24"/>
                <w:szCs w:val="24"/>
                <w:highlight w:val="none"/>
                <w:lang w:val="en-US" w:eastAsia="zh-CN"/>
              </w:rPr>
              <w:t>，</w:t>
            </w:r>
            <w:r>
              <w:rPr>
                <w:rFonts w:hint="eastAsia" w:cs="Times New Roman"/>
                <w:bCs/>
                <w:color w:val="FF0000"/>
                <w:sz w:val="24"/>
                <w:szCs w:val="24"/>
                <w:lang w:val="en-US" w:eastAsia="zh-CN"/>
              </w:rPr>
              <w:t>一楼其他设置区域为二期项目拟规划，本项目不作评价。A栋厂房</w:t>
            </w:r>
            <w:r>
              <w:rPr>
                <w:rFonts w:hint="default" w:ascii="Times New Roman" w:hAnsi="Times New Roman" w:cs="Times New Roman"/>
                <w:bCs/>
                <w:color w:val="FF0000"/>
                <w:sz w:val="24"/>
                <w:szCs w:val="24"/>
                <w:lang w:val="en-US" w:eastAsia="zh-CN"/>
              </w:rPr>
              <w:t>原为江西光联光学科技有限公司生产厂房，主要生产光学棱镜镜片</w:t>
            </w:r>
            <w:r>
              <w:rPr>
                <w:rFonts w:hint="default" w:ascii="Times New Roman" w:hAnsi="Times New Roman" w:cs="Times New Roman"/>
                <w:bCs/>
                <w:color w:val="FF0000"/>
                <w:sz w:val="24"/>
                <w:szCs w:val="24"/>
              </w:rPr>
              <w:t>，</w:t>
            </w:r>
            <w:r>
              <w:rPr>
                <w:rFonts w:hint="eastAsia" w:cs="Times New Roman"/>
                <w:bCs/>
                <w:color w:val="FF0000"/>
                <w:sz w:val="24"/>
                <w:szCs w:val="24"/>
                <w:lang w:val="en-US" w:eastAsia="zh-CN"/>
              </w:rPr>
              <w:t>现设备已全部搬离，原来使用功能取消，无</w:t>
            </w:r>
            <w:r>
              <w:rPr>
                <w:rFonts w:hint="default" w:ascii="Times New Roman" w:hAnsi="Times New Roman" w:cs="Times New Roman"/>
                <w:bCs/>
                <w:color w:val="FF0000"/>
                <w:sz w:val="24"/>
                <w:szCs w:val="24"/>
              </w:rPr>
              <w:t>历史遗留问题，周围总体环境良好，无与本项目有关的原有污染情况及主要环境问题。</w:t>
            </w:r>
          </w:p>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ind w:firstLine="480" w:firstLineChars="200"/>
              <w:jc w:val="left"/>
              <w:rPr>
                <w:rFonts w:hint="default" w:ascii="Times New Roman" w:hAnsi="Times New Roman" w:cs="Times New Roman"/>
                <w:bCs/>
                <w:sz w:val="24"/>
                <w:szCs w:val="24"/>
              </w:rPr>
            </w:pPr>
          </w:p>
          <w:p>
            <w:pPr>
              <w:adjustRightInd w:val="0"/>
              <w:snapToGrid w:val="0"/>
              <w:spacing w:line="360" w:lineRule="auto"/>
              <w:jc w:val="left"/>
              <w:rPr>
                <w:rFonts w:hint="eastAsia" w:ascii="宋体" w:hAnsi="宋体" w:eastAsia="宋体"/>
                <w:bCs/>
                <w:szCs w:val="21"/>
                <w:lang w:val="en-US" w:eastAsia="zh-CN"/>
              </w:rPr>
            </w:pPr>
          </w:p>
        </w:tc>
      </w:tr>
    </w:tbl>
    <w:p>
      <w:pPr>
        <w:pStyle w:val="24"/>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4"/>
        <w:adjustRightInd w:val="0"/>
        <w:snapToGrid w:val="0"/>
        <w:spacing w:before="0" w:beforeAutospacing="0" w:after="0" w:afterAutospacing="0" w:line="14" w:lineRule="auto"/>
        <w:jc w:val="center"/>
        <w:outlineLvl w:val="9"/>
        <w:rPr>
          <w:rFonts w:hint="eastAsia" w:ascii="黑体" w:hAnsi="黑体" w:eastAsia="黑体"/>
          <w:snapToGrid w:val="0"/>
          <w:sz w:val="30"/>
          <w:szCs w:val="30"/>
        </w:rPr>
      </w:pPr>
    </w:p>
    <w:p>
      <w:pPr>
        <w:pStyle w:val="24"/>
        <w:jc w:val="center"/>
        <w:outlineLvl w:val="0"/>
        <w:rPr>
          <w:rFonts w:ascii="黑体" w:hAnsi="黑体" w:eastAsia="黑体"/>
          <w:snapToGrid w:val="0"/>
          <w:sz w:val="30"/>
          <w:szCs w:val="30"/>
        </w:rPr>
      </w:pPr>
      <w:bookmarkStart w:id="20" w:name="_Toc7432"/>
      <w:bookmarkStart w:id="21" w:name="_Toc24695"/>
      <w:r>
        <w:rPr>
          <w:rFonts w:hint="eastAsia" w:ascii="黑体" w:hAnsi="黑体" w:eastAsia="黑体"/>
          <w:snapToGrid w:val="0"/>
          <w:sz w:val="30"/>
          <w:szCs w:val="30"/>
        </w:rPr>
        <w:t>三、区域环境质量现状、环境保护目标及评价标准</w:t>
      </w:r>
      <w:bookmarkEnd w:id="20"/>
      <w:bookmarkEnd w:id="21"/>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8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区域</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环境</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质量</w:t>
            </w:r>
          </w:p>
          <w:p>
            <w:pPr>
              <w:adjustRightInd w:val="0"/>
              <w:snapToGrid w:val="0"/>
              <w:jc w:val="center"/>
              <w:rPr>
                <w:rFonts w:ascii="宋体" w:hAnsi="宋体" w:cs="宋体"/>
                <w:kern w:val="0"/>
                <w:sz w:val="24"/>
                <w:szCs w:val="24"/>
              </w:rPr>
            </w:pPr>
            <w:r>
              <w:rPr>
                <w:rFonts w:hint="eastAsia" w:ascii="宋体" w:hAnsi="宋体" w:cs="宋体"/>
                <w:kern w:val="0"/>
                <w:sz w:val="24"/>
                <w:szCs w:val="24"/>
              </w:rPr>
              <w:t>现状</w:t>
            </w:r>
          </w:p>
        </w:tc>
        <w:tc>
          <w:tcPr>
            <w:tcW w:w="782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Times New Roman" w:hAnsi="Times New Roman" w:eastAsia="宋体" w:cs="Times New Roman"/>
                <w:b/>
                <w:bCs/>
                <w:sz w:val="24"/>
                <w:szCs w:val="24"/>
                <w:lang w:val="en-US" w:eastAsia="zh-CN"/>
              </w:rPr>
            </w:pPr>
            <w:r>
              <w:rPr>
                <w:rFonts w:hint="eastAsia" w:cs="Times New Roman"/>
                <w:b/>
                <w:bCs/>
                <w:sz w:val="24"/>
                <w:szCs w:val="24"/>
                <w:lang w:val="en-US" w:eastAsia="zh-CN"/>
              </w:rPr>
              <w:t>1、环境空气质量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（1）环境功能区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根据环境空气功能区划分方案，项目所在区域环境空气为二类功能区，环境空气质量执行《环境空气质量标准》（GB3095-2012）及修改单（生态环境部公告2018年第29号）二级标准。</w:t>
            </w:r>
          </w:p>
          <w:p>
            <w:pPr>
              <w:pStyle w:val="73"/>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（2）污染物环境质量现状数据</w:t>
            </w:r>
          </w:p>
          <w:p>
            <w:pPr>
              <w:pStyle w:val="73"/>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color w:val="000000" w:themeColor="text1"/>
                <w14:textFill>
                  <w14:solidFill>
                    <w14:schemeClr w14:val="tx1"/>
                  </w14:solidFill>
                </w14:textFill>
              </w:rPr>
            </w:pPr>
            <w:r>
              <w:rPr>
                <w:rFonts w:ascii="Times New Roman" w:hAnsi="Times New Roman" w:eastAsia="宋体" w:cs="Times New Roman"/>
                <w:kern w:val="2"/>
                <w:sz w:val="24"/>
                <w:szCs w:val="24"/>
                <w:lang w:val="en-US" w:eastAsia="zh-CN" w:bidi="ar-SA"/>
              </w:rPr>
              <w:t>本项目位于江西省上饶经济技术开发区，为环境空气质量二类区，执行《环境空气质量标准》（GB3095-2012）及修改单中的二级标准。为了解建设项目所在地环境空气质量现状，本项目所在区域基本污染物（PM</w:t>
            </w:r>
            <w:r>
              <w:rPr>
                <w:rFonts w:ascii="Times New Roman" w:hAnsi="Times New Roman" w:eastAsia="宋体" w:cs="Times New Roman"/>
                <w:kern w:val="2"/>
                <w:sz w:val="24"/>
                <w:szCs w:val="24"/>
                <w:vertAlign w:val="subscript"/>
                <w:lang w:val="en-US" w:eastAsia="zh-CN" w:bidi="ar-SA"/>
              </w:rPr>
              <w:t>2.5</w:t>
            </w:r>
            <w:r>
              <w:rPr>
                <w:rFonts w:ascii="Times New Roman" w:hAnsi="Times New Roman" w:eastAsia="宋体" w:cs="Times New Roman"/>
                <w:kern w:val="2"/>
                <w:sz w:val="24"/>
                <w:szCs w:val="24"/>
                <w:lang w:val="en-US" w:eastAsia="zh-CN" w:bidi="ar-SA"/>
              </w:rPr>
              <w:t>、PM</w:t>
            </w:r>
            <w:r>
              <w:rPr>
                <w:rFonts w:ascii="Times New Roman" w:hAnsi="Times New Roman" w:eastAsia="宋体" w:cs="Times New Roman"/>
                <w:kern w:val="2"/>
                <w:sz w:val="24"/>
                <w:szCs w:val="24"/>
                <w:vertAlign w:val="subscript"/>
                <w:lang w:val="en-US" w:eastAsia="zh-CN" w:bidi="ar-SA"/>
              </w:rPr>
              <w:t>10</w:t>
            </w:r>
            <w:r>
              <w:rPr>
                <w:rFonts w:ascii="Times New Roman" w:hAnsi="Times New Roman" w:eastAsia="宋体" w:cs="Times New Roman"/>
                <w:kern w:val="2"/>
                <w:sz w:val="24"/>
                <w:szCs w:val="24"/>
                <w:lang w:val="en-US" w:eastAsia="zh-CN" w:bidi="ar-SA"/>
              </w:rPr>
              <w:t>、NO</w:t>
            </w:r>
            <w:r>
              <w:rPr>
                <w:rFonts w:ascii="Times New Roman" w:hAnsi="Times New Roman" w:eastAsia="宋体" w:cs="Times New Roman"/>
                <w:kern w:val="2"/>
                <w:sz w:val="24"/>
                <w:szCs w:val="24"/>
                <w:vertAlign w:val="subscript"/>
                <w:lang w:val="en-US" w:eastAsia="zh-CN" w:bidi="ar-SA"/>
              </w:rPr>
              <w:t>2</w:t>
            </w:r>
            <w:r>
              <w:rPr>
                <w:rFonts w:ascii="Times New Roman" w:hAnsi="Times New Roman" w:eastAsia="宋体" w:cs="Times New Roman"/>
                <w:kern w:val="2"/>
                <w:sz w:val="24"/>
                <w:szCs w:val="24"/>
                <w:lang w:val="en-US" w:eastAsia="zh-CN" w:bidi="ar-SA"/>
              </w:rPr>
              <w:t>、SO</w:t>
            </w:r>
            <w:r>
              <w:rPr>
                <w:rFonts w:ascii="Times New Roman" w:hAnsi="Times New Roman" w:eastAsia="宋体" w:cs="Times New Roman"/>
                <w:kern w:val="2"/>
                <w:sz w:val="24"/>
                <w:szCs w:val="24"/>
                <w:vertAlign w:val="subscript"/>
                <w:lang w:val="en-US" w:eastAsia="zh-CN" w:bidi="ar-SA"/>
              </w:rPr>
              <w:t>2</w:t>
            </w:r>
            <w:r>
              <w:rPr>
                <w:rFonts w:ascii="Times New Roman" w:hAnsi="Times New Roman" w:eastAsia="宋体" w:cs="Times New Roman"/>
                <w:kern w:val="2"/>
                <w:sz w:val="24"/>
                <w:szCs w:val="24"/>
                <w:lang w:val="en-US" w:eastAsia="zh-CN" w:bidi="ar-SA"/>
              </w:rPr>
              <w:t>、CO、O</w:t>
            </w:r>
            <w:r>
              <w:rPr>
                <w:rFonts w:ascii="Times New Roman" w:hAnsi="Times New Roman" w:eastAsia="宋体" w:cs="Times New Roman"/>
                <w:kern w:val="2"/>
                <w:sz w:val="24"/>
                <w:szCs w:val="24"/>
                <w:vertAlign w:val="subscript"/>
                <w:lang w:val="en-US" w:eastAsia="zh-CN" w:bidi="ar-SA"/>
              </w:rPr>
              <w:t>3</w:t>
            </w:r>
            <w:r>
              <w:rPr>
                <w:rFonts w:ascii="Times New Roman" w:hAnsi="Times New Roman" w:eastAsia="宋体" w:cs="Times New Roman"/>
                <w:kern w:val="2"/>
                <w:sz w:val="24"/>
                <w:szCs w:val="24"/>
                <w:lang w:val="en-US" w:eastAsia="zh-CN" w:bidi="ar-SA"/>
              </w:rPr>
              <w:t>）现状数据采用上饶市生态环境局公布的《上饶市环境质量月报》（2021年1月~1</w:t>
            </w:r>
            <w:r>
              <w:rPr>
                <w:rFonts w:hint="eastAsia" w:ascii="Times New Roman" w:hAnsi="Times New Roman" w:eastAsia="宋体" w:cs="Times New Roman"/>
                <w:kern w:val="2"/>
                <w:sz w:val="24"/>
                <w:szCs w:val="24"/>
                <w:lang w:val="en-US" w:eastAsia="zh-CN" w:bidi="ar-SA"/>
              </w:rPr>
              <w:t>2</w:t>
            </w:r>
            <w:r>
              <w:rPr>
                <w:rFonts w:ascii="Times New Roman" w:hAnsi="Times New Roman" w:eastAsia="宋体" w:cs="Times New Roman"/>
                <w:kern w:val="2"/>
                <w:sz w:val="24"/>
                <w:szCs w:val="24"/>
                <w:lang w:val="en-US" w:eastAsia="zh-CN" w:bidi="ar-SA"/>
              </w:rPr>
              <w:t>月）中上饶经济技术开发区的环境空气污染物基本项目监测数据，项目所在地大气基本污染物达标情况见下表。</w:t>
            </w:r>
          </w:p>
          <w:p>
            <w:pPr>
              <w:pStyle w:val="103"/>
              <w:tabs>
                <w:tab w:val="left" w:pos="6105"/>
              </w:tabs>
              <w:spacing w:before="0" w:line="240" w:lineRule="auto"/>
              <w:ind w:firstLine="0" w:firstLineChars="0"/>
              <w:jc w:val="center"/>
              <w:outlineLvl w:val="4"/>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表3-1  基本污染物环境质量现状表</w:t>
            </w:r>
          </w:p>
          <w:tbl>
            <w:tblPr>
              <w:tblStyle w:val="27"/>
              <w:tblW w:w="5000"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9"/>
              <w:gridCol w:w="3060"/>
              <w:gridCol w:w="970"/>
              <w:gridCol w:w="915"/>
              <w:gridCol w:w="873"/>
              <w:gridCol w:w="9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污染物</w:t>
                  </w:r>
                </w:p>
              </w:tc>
              <w:tc>
                <w:tcPr>
                  <w:tcW w:w="2009"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评价指标</w:t>
                  </w:r>
                </w:p>
              </w:tc>
              <w:tc>
                <w:tcPr>
                  <w:tcW w:w="637"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现状浓度</w:t>
                  </w:r>
                  <w:r>
                    <w:rPr>
                      <w:b/>
                      <w:bCs/>
                      <w:color w:val="000000" w:themeColor="text1"/>
                      <w:sz w:val="21"/>
                      <w:szCs w:val="21"/>
                      <w14:textFill>
                        <w14:solidFill>
                          <w14:schemeClr w14:val="tx1"/>
                        </w14:solidFill>
                      </w14:textFill>
                    </w:rPr>
                    <w:t>µg/m</w:t>
                  </w:r>
                  <w:r>
                    <w:rPr>
                      <w:b/>
                      <w:bCs/>
                      <w:color w:val="000000" w:themeColor="text1"/>
                      <w:sz w:val="21"/>
                      <w:szCs w:val="21"/>
                      <w:vertAlign w:val="superscript"/>
                      <w14:textFill>
                        <w14:solidFill>
                          <w14:schemeClr w14:val="tx1"/>
                        </w14:solidFill>
                      </w14:textFill>
                    </w:rPr>
                    <w:t>3</w:t>
                  </w:r>
                </w:p>
              </w:tc>
              <w:tc>
                <w:tcPr>
                  <w:tcW w:w="601"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标准值</w:t>
                  </w:r>
                  <w:r>
                    <w:rPr>
                      <w:b/>
                      <w:bCs/>
                      <w:color w:val="000000" w:themeColor="text1"/>
                      <w:sz w:val="21"/>
                      <w:szCs w:val="21"/>
                      <w14:textFill>
                        <w14:solidFill>
                          <w14:schemeClr w14:val="tx1"/>
                        </w14:solidFill>
                      </w14:textFill>
                    </w:rPr>
                    <w:t>µg/m</w:t>
                  </w:r>
                  <w:r>
                    <w:rPr>
                      <w:b/>
                      <w:bCs/>
                      <w:color w:val="000000" w:themeColor="text1"/>
                      <w:sz w:val="21"/>
                      <w:szCs w:val="21"/>
                      <w:vertAlign w:val="superscript"/>
                      <w14:textFill>
                        <w14:solidFill>
                          <w14:schemeClr w14:val="tx1"/>
                        </w14:solidFill>
                      </w14:textFill>
                    </w:rPr>
                    <w:t>3</w:t>
                  </w:r>
                </w:p>
              </w:tc>
              <w:tc>
                <w:tcPr>
                  <w:tcW w:w="573"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占标率%</w:t>
                  </w:r>
                </w:p>
              </w:tc>
              <w:tc>
                <w:tcPr>
                  <w:tcW w:w="633" w:type="pct"/>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达标</w:t>
                  </w:r>
                </w:p>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PM</w:t>
                  </w:r>
                  <w:r>
                    <w:rPr>
                      <w:color w:val="000000" w:themeColor="text1"/>
                      <w:kern w:val="0"/>
                      <w:sz w:val="21"/>
                      <w:szCs w:val="21"/>
                      <w:vertAlign w:val="subscript"/>
                      <w14:textFill>
                        <w14:solidFill>
                          <w14:schemeClr w14:val="tx1"/>
                        </w14:solidFill>
                      </w14:textFill>
                    </w:rPr>
                    <w:t>2.5</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30.3</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35</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86.6</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PM</w:t>
                  </w:r>
                  <w:r>
                    <w:rPr>
                      <w:color w:val="000000" w:themeColor="text1"/>
                      <w:kern w:val="0"/>
                      <w:sz w:val="21"/>
                      <w:szCs w:val="21"/>
                      <w:vertAlign w:val="subscript"/>
                      <w14:textFill>
                        <w14:solidFill>
                          <w14:schemeClr w14:val="tx1"/>
                        </w14:solidFill>
                      </w14:textFill>
                    </w:rPr>
                    <w:t>10</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53.5</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70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76.4</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NO</w:t>
                  </w:r>
                  <w:r>
                    <w:rPr>
                      <w:color w:val="000000" w:themeColor="text1"/>
                      <w:kern w:val="0"/>
                      <w:sz w:val="21"/>
                      <w:szCs w:val="21"/>
                      <w:vertAlign w:val="subscript"/>
                      <w14:textFill>
                        <w14:solidFill>
                          <w14:schemeClr w14:val="tx1"/>
                        </w14:solidFill>
                      </w14:textFill>
                    </w:rPr>
                    <w:t>2</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23.8</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59.5</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SO</w:t>
                  </w:r>
                  <w:r>
                    <w:rPr>
                      <w:color w:val="000000" w:themeColor="text1"/>
                      <w:kern w:val="0"/>
                      <w:sz w:val="21"/>
                      <w:szCs w:val="21"/>
                      <w:vertAlign w:val="subscript"/>
                      <w14:textFill>
                        <w14:solidFill>
                          <w14:schemeClr w14:val="tx1"/>
                        </w14:solidFill>
                      </w14:textFill>
                    </w:rPr>
                    <w:t>2</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年平均质量浓度</w:t>
                  </w:r>
                </w:p>
              </w:tc>
              <w:tc>
                <w:tcPr>
                  <w:tcW w:w="637"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18.4</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60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30.7</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CO</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第95百分位数日平均质量浓度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808</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4000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20.2</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4" w:type="pct"/>
                  <w:tcBorders>
                    <w:tl2br w:val="nil"/>
                    <w:tr2bl w:val="nil"/>
                  </w:tcBorders>
                  <w:vAlign w:val="center"/>
                </w:tcPr>
                <w:p>
                  <w:pPr>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O</w:t>
                  </w:r>
                  <w:r>
                    <w:rPr>
                      <w:color w:val="000000" w:themeColor="text1"/>
                      <w:kern w:val="0"/>
                      <w:sz w:val="21"/>
                      <w:szCs w:val="21"/>
                      <w:vertAlign w:val="subscript"/>
                      <w14:textFill>
                        <w14:solidFill>
                          <w14:schemeClr w14:val="tx1"/>
                        </w14:solidFill>
                      </w14:textFill>
                    </w:rPr>
                    <w:t>3</w:t>
                  </w:r>
                </w:p>
              </w:tc>
              <w:tc>
                <w:tcPr>
                  <w:tcW w:w="200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第90百分位数8h平均质量浓度</w:t>
                  </w:r>
                </w:p>
              </w:tc>
              <w:tc>
                <w:tcPr>
                  <w:tcW w:w="637"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116.4</w:t>
                  </w:r>
                </w:p>
              </w:tc>
              <w:tc>
                <w:tcPr>
                  <w:tcW w:w="601"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160</w:t>
                  </w:r>
                </w:p>
              </w:tc>
              <w:tc>
                <w:tcPr>
                  <w:tcW w:w="573" w:type="pct"/>
                  <w:tcBorders>
                    <w:tl2br w:val="nil"/>
                    <w:tr2bl w:val="nil"/>
                  </w:tcBorders>
                  <w:vAlign w:val="center"/>
                </w:tcPr>
                <w:p>
                  <w:pPr>
                    <w:widowControl/>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72.8</w:t>
                  </w:r>
                </w:p>
              </w:tc>
              <w:tc>
                <w:tcPr>
                  <w:tcW w:w="633"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达标</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Times New Roman"/>
                <w:sz w:val="24"/>
                <w:szCs w:val="24"/>
              </w:rPr>
            </w:pPr>
            <w:r>
              <w:rPr>
                <w:color w:val="000000" w:themeColor="text1"/>
                <w14:textFill>
                  <w14:solidFill>
                    <w14:schemeClr w14:val="tx1"/>
                  </w14:solidFill>
                </w14:textFill>
              </w:rPr>
              <w:t>根据上述监测数据，基本污染物均能达到《环境空气质量标准》（GB3095-2012）二级标准要求，项目所在评价区域为达标区</w:t>
            </w:r>
            <w:r>
              <w:rPr>
                <w:rFonts w:ascii="Times New Roman" w:hAnsi="Times New Roman" w:eastAsia="宋体" w:cs="Times New Roman"/>
                <w:sz w:val="24"/>
                <w:szCs w:val="24"/>
              </w:rPr>
              <w:t>。</w:t>
            </w:r>
          </w:p>
          <w:p>
            <w:pPr>
              <w:pStyle w:val="70"/>
              <w:bidi w:val="0"/>
              <w:rPr>
                <w:rFonts w:ascii="Times New Roman" w:hAnsi="Times New Roman" w:eastAsia="宋体" w:cs="宋体"/>
                <w:color w:val="auto"/>
              </w:rPr>
            </w:pPr>
            <w:r>
              <w:rPr>
                <w:rFonts w:hint="eastAsia" w:ascii="Times New Roman" w:hAnsi="Times New Roman" w:eastAsia="宋体" w:cs="宋体"/>
                <w:color w:val="auto"/>
              </w:rPr>
              <w:t>根据生态环境部环境工程评估中心《建设项目环境影响报告表》内容、格式及编制技术指南常见问题解答：</w:t>
            </w:r>
          </w:p>
          <w:p>
            <w:pPr>
              <w:pStyle w:val="70"/>
              <w:bidi w:val="0"/>
              <w:rPr>
                <w:rFonts w:ascii="Times New Roman" w:hAnsi="Times New Roman" w:eastAsia="宋体" w:cs="宋体"/>
                <w:color w:val="auto"/>
              </w:rPr>
            </w:pPr>
            <w:r>
              <w:rPr>
                <w:rFonts w:hint="eastAsia" w:ascii="Times New Roman" w:hAnsi="Times New Roman" w:eastAsia="宋体" w:cs="宋体"/>
                <w:color w:val="auto"/>
              </w:rPr>
              <w:t>①如判定为需要开展大气专项评价，则按照《环境影响评价技术导则 大气环境》（HJ2.2-2018）要求开展相关监测工作。如判定为无需开展大气专项评价，统一按照技术指南要求开展工作。</w:t>
            </w:r>
          </w:p>
          <w:p>
            <w:pPr>
              <w:pStyle w:val="70"/>
              <w:bidi w:val="0"/>
              <w:rPr>
                <w:rFonts w:ascii="Times New Roman" w:hAnsi="Times New Roman" w:eastAsia="宋体" w:cs="宋体"/>
                <w:color w:val="auto"/>
              </w:rPr>
            </w:pPr>
            <w:r>
              <w:rPr>
                <w:rFonts w:hint="eastAsia" w:ascii="Times New Roman" w:hAnsi="Times New Roman" w:eastAsia="宋体" w:cs="宋体"/>
                <w:color w:val="auto"/>
              </w:rPr>
              <w:t>②技术指南中提到“排放国家、地方环境空气质量标准中有标准限值要求的特征污染物”，其中环境空气质量标准指《环境空气质量标准》（GB3095）和地方的环境空气质量标准，不包括《环境影响评价技术导则 大气环境》（HJ2.2-2018）附录D、《工业企业设计卫生标准》（TJ36-97）、《前苏联居住区标准》（CH245-71）、《环境影响评价技术导则 制药建设项目》（HJ611-2011）、《大气污染物综合排放标准详解》等导则或参考资料。排放的特征污染物需要在国家、地方环境空气质量标准中有限值要求才涉及现状监测，且优先引用现有监测数据。</w:t>
            </w:r>
          </w:p>
          <w:p>
            <w:pPr>
              <w:adjustRightInd w:val="0"/>
              <w:snapToGrid w:val="0"/>
              <w:spacing w:line="360" w:lineRule="auto"/>
              <w:ind w:firstLine="480" w:firstLineChars="200"/>
              <w:jc w:val="both"/>
              <w:rPr>
                <w:rFonts w:hint="default" w:ascii="Times New Roman" w:hAnsi="Times New Roman" w:cs="Times New Roman"/>
                <w:bCs/>
                <w:sz w:val="24"/>
                <w:szCs w:val="24"/>
                <w:lang w:eastAsia="zh-CN"/>
              </w:rPr>
            </w:pPr>
            <w:r>
              <w:rPr>
                <w:rFonts w:hint="eastAsia" w:ascii="Times New Roman" w:hAnsi="Times New Roman" w:eastAsia="宋体" w:cs="宋体"/>
                <w:color w:val="auto"/>
                <w:kern w:val="0"/>
                <w:sz w:val="24"/>
                <w:szCs w:val="20"/>
                <w:lang w:val="en-US" w:eastAsia="zh-CN" w:bidi="ar-SA"/>
              </w:rPr>
              <w:t>本项目未开展大气专项评价，按照技术指南要求开展工作要求开展相关监测工作，TVOC不在《环境空气质量标准》（GB3095）标准中，可不开展环境现状监测</w:t>
            </w:r>
            <w:r>
              <w:rPr>
                <w:rFonts w:hint="default" w:ascii="Times New Roman" w:hAnsi="Times New Roman" w:eastAsia="宋体" w:cs="宋体"/>
                <w:color w:val="auto"/>
                <w:kern w:val="0"/>
                <w:sz w:val="24"/>
                <w:szCs w:val="20"/>
                <w:lang w:val="en-US" w:eastAsia="zh-CN" w:bidi="ar-SA"/>
              </w:rPr>
              <w:t>。</w:t>
            </w:r>
          </w:p>
          <w:p>
            <w:pPr>
              <w:adjustRightInd w:val="0"/>
              <w:snapToGrid w:val="0"/>
              <w:spacing w:line="360" w:lineRule="auto"/>
              <w:ind w:firstLine="482" w:firstLineChars="200"/>
              <w:jc w:val="both"/>
              <w:rPr>
                <w:rFonts w:hint="default" w:ascii="Times New Roman" w:hAnsi="Times New Roman" w:cs="Times New Roman"/>
                <w:b/>
                <w:bCs w:val="0"/>
                <w:sz w:val="24"/>
                <w:szCs w:val="24"/>
                <w:lang w:val="en-US" w:eastAsia="zh-CN"/>
              </w:rPr>
            </w:pPr>
            <w:r>
              <w:rPr>
                <w:rFonts w:hint="eastAsia" w:cs="Times New Roman"/>
                <w:b/>
                <w:bCs w:val="0"/>
                <w:sz w:val="24"/>
                <w:szCs w:val="24"/>
                <w:lang w:val="en-US" w:eastAsia="zh-CN"/>
              </w:rPr>
              <w:t>2、</w:t>
            </w:r>
            <w:r>
              <w:rPr>
                <w:rFonts w:hint="default" w:ascii="Times New Roman" w:hAnsi="Times New Roman" w:cs="Times New Roman"/>
                <w:b/>
                <w:bCs w:val="0"/>
                <w:sz w:val="24"/>
                <w:szCs w:val="24"/>
                <w:lang w:val="en-US" w:eastAsia="zh-CN"/>
              </w:rPr>
              <w:t>地表水环境质量现状</w:t>
            </w:r>
          </w:p>
          <w:p>
            <w:pPr>
              <w:pStyle w:val="70"/>
              <w:bidi w:val="0"/>
              <w:rPr>
                <w:rFonts w:ascii="Times New Roman" w:hAnsi="Times New Roman" w:eastAsia="宋体" w:cs="宋体"/>
                <w:color w:val="auto"/>
              </w:rPr>
            </w:pPr>
            <w:r>
              <w:rPr>
                <w:rFonts w:hint="eastAsia" w:ascii="Times New Roman" w:hAnsi="Times New Roman" w:eastAsia="宋体" w:cs="宋体"/>
                <w:color w:val="auto"/>
              </w:rPr>
              <w:t>本项目受纳水体为信江，为了解项目地表水质量现状，本环评引用江西省上饶市生态环境局发布的《上饶市环境质量月报（2022.</w:t>
            </w:r>
            <w:r>
              <w:rPr>
                <w:rFonts w:hint="eastAsia" w:cs="宋体"/>
                <w:color w:val="auto"/>
                <w:lang w:val="en-US" w:eastAsia="zh-CN"/>
              </w:rPr>
              <w:t>7</w:t>
            </w:r>
            <w:r>
              <w:rPr>
                <w:rFonts w:hint="eastAsia" w:ascii="Times New Roman" w:hAnsi="Times New Roman" w:eastAsia="宋体" w:cs="宋体"/>
                <w:color w:val="auto"/>
              </w:rPr>
              <w:t>）》监测数据。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ascii="Times New Roman" w:hAnsi="Times New Roman" w:eastAsia="宋体" w:cs="Times New Roman"/>
                <w:b/>
                <w:bCs/>
                <w:sz w:val="21"/>
                <w:szCs w:val="21"/>
                <w:lang w:eastAsia="zh-CN"/>
              </w:rPr>
              <w:t>表</w:t>
            </w:r>
            <w:r>
              <w:rPr>
                <w:rFonts w:hint="eastAsia" w:ascii="Times New Roman" w:hAnsi="Times New Roman" w:eastAsia="宋体" w:cs="Times New Roman"/>
                <w:b/>
                <w:bCs/>
                <w:sz w:val="21"/>
                <w:szCs w:val="21"/>
                <w:lang w:val="en-US" w:eastAsia="zh-CN"/>
              </w:rPr>
              <w:t>3-</w:t>
            </w:r>
            <w:r>
              <w:rPr>
                <w:rFonts w:hint="eastAsia" w:cs="Times New Roman"/>
                <w:b/>
                <w:bCs/>
                <w:sz w:val="21"/>
                <w:szCs w:val="21"/>
                <w:lang w:val="en-US" w:eastAsia="zh-CN"/>
              </w:rPr>
              <w:t xml:space="preserve">2 </w:t>
            </w:r>
            <w:r>
              <w:rPr>
                <w:rFonts w:hint="eastAsia" w:ascii="Times New Roman" w:hAnsi="Times New Roman" w:eastAsia="宋体" w:cs="Times New Roman"/>
                <w:b/>
                <w:bCs/>
                <w:sz w:val="21"/>
                <w:szCs w:val="21"/>
                <w:lang w:val="en-US" w:eastAsia="zh-CN"/>
              </w:rPr>
              <w:t xml:space="preserve"> 202</w:t>
            </w:r>
            <w:r>
              <w:rPr>
                <w:rFonts w:hint="eastAsia" w:cs="Times New Roman"/>
                <w:b/>
                <w:bCs/>
                <w:sz w:val="21"/>
                <w:szCs w:val="21"/>
                <w:lang w:val="en-US" w:eastAsia="zh-CN"/>
              </w:rPr>
              <w:t>2</w:t>
            </w:r>
            <w:r>
              <w:rPr>
                <w:rFonts w:hint="eastAsia" w:ascii="Times New Roman" w:hAnsi="Times New Roman" w:eastAsia="宋体" w:cs="Times New Roman"/>
                <w:b/>
                <w:bCs/>
                <w:sz w:val="21"/>
                <w:szCs w:val="21"/>
                <w:lang w:val="en-US" w:eastAsia="zh-CN"/>
              </w:rPr>
              <w:t>年</w:t>
            </w:r>
            <w:r>
              <w:rPr>
                <w:rFonts w:hint="eastAsia" w:cs="Times New Roman"/>
                <w:b/>
                <w:bCs/>
                <w:sz w:val="21"/>
                <w:szCs w:val="21"/>
                <w:lang w:val="en-US" w:eastAsia="zh-CN"/>
              </w:rPr>
              <w:t>7</w:t>
            </w:r>
            <w:r>
              <w:rPr>
                <w:rFonts w:hint="eastAsia" w:ascii="Times New Roman" w:hAnsi="Times New Roman" w:eastAsia="宋体" w:cs="Times New Roman"/>
                <w:b/>
                <w:bCs/>
                <w:sz w:val="21"/>
                <w:szCs w:val="21"/>
                <w:lang w:val="en-US" w:eastAsia="zh-CN"/>
              </w:rPr>
              <w:t>月信江干流（上饶段）断面水质评价结果</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97"/>
              <w:gridCol w:w="1101"/>
              <w:gridCol w:w="1427"/>
              <w:gridCol w:w="1435"/>
              <w:gridCol w:w="1417"/>
              <w:gridCol w:w="15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3" w:hRule="atLeast"/>
                <w:tblHeader/>
                <w:jc w:val="center"/>
              </w:trPr>
              <w:tc>
                <w:tcPr>
                  <w:tcW w:w="4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河流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名称</w:t>
                  </w:r>
                </w:p>
              </w:tc>
              <w:tc>
                <w:tcPr>
                  <w:tcW w:w="7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断面名称</w:t>
                  </w:r>
                </w:p>
              </w:tc>
              <w:tc>
                <w:tcPr>
                  <w:tcW w:w="9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断面属性</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水质评价及主要污染物</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上月水质评价及主要污染物</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上年同期水质评价及主要污染物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kern w:val="2"/>
                      <w:sz w:val="21"/>
                      <w:szCs w:val="21"/>
                      <w:lang w:val="en-US" w:eastAsia="zh-CN" w:bidi="ar-SA"/>
                    </w:rPr>
                    <w:t>玉山浮桥</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color w:val="000000"/>
                      <w:kern w:val="0"/>
                      <w:sz w:val="21"/>
                      <w:szCs w:val="21"/>
                      <w:lang w:val="en-US" w:eastAsia="zh-CN" w:bidi="ar"/>
                    </w:rPr>
                    <w:t>国控</w:t>
                  </w:r>
                </w:p>
              </w:tc>
              <w:tc>
                <w:tcPr>
                  <w:tcW w:w="9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eastAsia="宋体" w:cs="Times New Roman"/>
                      <w:b w:val="0"/>
                      <w:bCs w:val="0"/>
                      <w:sz w:val="20"/>
                      <w:szCs w:val="20"/>
                    </w:rPr>
                    <w:t>Ⅱ</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0"/>
                      <w:szCs w:val="20"/>
                    </w:rPr>
                    <w:t>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文成</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省控、县界、长江经济带</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0"/>
                      <w:szCs w:val="20"/>
                    </w:rPr>
                    <w:t>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上饶市水厂</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省控</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0"/>
                      <w:szCs w:val="20"/>
                    </w:rPr>
                    <w:t>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4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sz w:val="21"/>
                      <w:szCs w:val="21"/>
                      <w:lang w:val="en-US" w:eastAsia="zh-CN"/>
                    </w:rPr>
                    <w:t>信江</w:t>
                  </w:r>
                </w:p>
              </w:tc>
              <w:tc>
                <w:tcPr>
                  <w:tcW w:w="7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应家坊</w:t>
                  </w:r>
                </w:p>
              </w:tc>
              <w:tc>
                <w:tcPr>
                  <w:tcW w:w="9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国控、县界</w:t>
                  </w:r>
                </w:p>
              </w:tc>
              <w:tc>
                <w:tcPr>
                  <w:tcW w:w="9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Ⅲ</w:t>
                  </w:r>
                </w:p>
              </w:tc>
              <w:tc>
                <w:tcPr>
                  <w:tcW w:w="10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0"/>
                      <w:szCs w:val="20"/>
                    </w:rPr>
                    <w:t>Ⅱ</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sz w:val="24"/>
                <w:szCs w:val="24"/>
                <w:lang w:eastAsia="zh-CN"/>
              </w:rPr>
              <w:t>由</w:t>
            </w:r>
            <w:r>
              <w:rPr>
                <w:rFonts w:hint="eastAsia" w:ascii="Times New Roman" w:hAnsi="Times New Roman" w:eastAsia="宋体" w:cs="Times New Roman"/>
                <w:sz w:val="24"/>
                <w:szCs w:val="24"/>
                <w:lang w:eastAsia="zh-CN"/>
              </w:rPr>
              <w:t>上</w:t>
            </w:r>
            <w:r>
              <w:rPr>
                <w:rFonts w:hint="default" w:ascii="Times New Roman" w:hAnsi="Times New Roman" w:eastAsia="宋体" w:cs="Times New Roman"/>
                <w:sz w:val="24"/>
                <w:szCs w:val="24"/>
                <w:lang w:eastAsia="zh-CN"/>
              </w:rPr>
              <w:t>表</w:t>
            </w:r>
            <w:r>
              <w:rPr>
                <w:rFonts w:hint="default" w:ascii="Times New Roman" w:hAnsi="Times New Roman" w:eastAsia="宋体" w:cs="Times New Roman"/>
                <w:sz w:val="24"/>
                <w:szCs w:val="24"/>
                <w:lang w:val="en-US" w:eastAsia="zh-CN"/>
              </w:rPr>
              <w:t>可知，</w:t>
            </w:r>
            <w:r>
              <w:rPr>
                <w:rFonts w:hint="default" w:ascii="Times New Roman" w:hAnsi="Times New Roman" w:eastAsia="宋体" w:cs="Times New Roman"/>
                <w:sz w:val="24"/>
                <w:szCs w:val="24"/>
                <w:lang w:eastAsia="zh-CN"/>
              </w:rPr>
              <w:t>监测</w:t>
            </w:r>
            <w:r>
              <w:rPr>
                <w:rFonts w:hint="default" w:ascii="Times New Roman" w:hAnsi="Times New Roman" w:eastAsia="宋体" w:cs="Times New Roman"/>
                <w:sz w:val="24"/>
                <w:szCs w:val="24"/>
              </w:rPr>
              <w:t>断面水质</w:t>
            </w:r>
            <w:r>
              <w:rPr>
                <w:rFonts w:hint="default" w:ascii="Times New Roman" w:hAnsi="Times New Roman" w:cs="Times New Roman"/>
                <w:color w:val="auto"/>
                <w:sz w:val="24"/>
                <w:szCs w:val="24"/>
                <w:lang w:val="en-US" w:eastAsia="zh-CN"/>
              </w:rPr>
              <w:t>满足《地表水环境质量标准》（GB3838-2002）</w:t>
            </w:r>
            <w:r>
              <w:rPr>
                <w:rFonts w:hint="default" w:ascii="Times New Roman" w:hAnsi="Times New Roman" w:eastAsia="宋体" w:cs="Times New Roman"/>
                <w:sz w:val="24"/>
                <w:szCs w:val="24"/>
                <w:lang w:val="en-US" w:eastAsia="zh-CN"/>
              </w:rPr>
              <w:t>Ⅲ</w:t>
            </w:r>
            <w:r>
              <w:rPr>
                <w:rFonts w:hint="default" w:ascii="Times New Roman" w:hAnsi="Times New Roman" w:cs="Times New Roman"/>
                <w:color w:val="auto"/>
                <w:sz w:val="24"/>
                <w:szCs w:val="24"/>
                <w:lang w:val="en-US" w:eastAsia="zh-CN"/>
              </w:rPr>
              <w:t>类标准的相应要求</w:t>
            </w:r>
            <w:r>
              <w:rPr>
                <w:rFonts w:hint="default" w:ascii="Times New Roman" w:hAnsi="Times New Roman" w:cs="Times New Roman"/>
                <w:color w:val="auto"/>
                <w:sz w:val="24"/>
                <w:szCs w:val="24"/>
                <w:lang w:eastAsia="zh-CN"/>
              </w:rPr>
              <w:t>说明</w:t>
            </w:r>
            <w:r>
              <w:rPr>
                <w:rFonts w:hint="default" w:ascii="Times New Roman" w:hAnsi="Times New Roman" w:cs="Times New Roman"/>
                <w:color w:val="auto"/>
                <w:sz w:val="24"/>
                <w:szCs w:val="24"/>
              </w:rPr>
              <w:t>地表水环境现状良好。</w:t>
            </w:r>
          </w:p>
          <w:p>
            <w:pPr>
              <w:adjustRightInd w:val="0"/>
              <w:snapToGrid w:val="0"/>
              <w:spacing w:line="360" w:lineRule="auto"/>
              <w:ind w:firstLine="482" w:firstLineChars="200"/>
              <w:jc w:val="both"/>
              <w:rPr>
                <w:rFonts w:hint="default" w:ascii="Times New Roman" w:hAnsi="Times New Roman" w:cs="Times New Roman"/>
                <w:b/>
                <w:bCs w:val="0"/>
                <w:sz w:val="24"/>
                <w:szCs w:val="24"/>
                <w:lang w:val="en-US" w:eastAsia="zh-CN"/>
              </w:rPr>
            </w:pPr>
            <w:r>
              <w:rPr>
                <w:rFonts w:hint="eastAsia" w:cs="Times New Roman"/>
                <w:b/>
                <w:bCs w:val="0"/>
                <w:sz w:val="24"/>
                <w:szCs w:val="24"/>
                <w:lang w:val="en-US" w:eastAsia="zh-CN"/>
              </w:rPr>
              <w:t>3、</w:t>
            </w:r>
            <w:r>
              <w:rPr>
                <w:rFonts w:hint="default" w:ascii="Times New Roman" w:hAnsi="Times New Roman" w:cs="Times New Roman"/>
                <w:b/>
                <w:bCs w:val="0"/>
                <w:sz w:val="24"/>
                <w:szCs w:val="24"/>
                <w:lang w:val="en-US" w:eastAsia="zh-CN"/>
              </w:rPr>
              <w:t>声环境质量现状</w:t>
            </w:r>
          </w:p>
          <w:p>
            <w:pPr>
              <w:adjustRightInd w:val="0"/>
              <w:snapToGrid w:val="0"/>
              <w:spacing w:line="360" w:lineRule="auto"/>
              <w:ind w:firstLine="480" w:firstLineChars="200"/>
              <w:jc w:val="left"/>
              <w:outlineLvl w:val="2"/>
              <w:rPr>
                <w:rFonts w:hint="eastAsia" w:ascii="Times New Roman" w:hAnsi="Times New Roman"/>
                <w:sz w:val="24"/>
              </w:rPr>
            </w:pPr>
            <w:r>
              <w:rPr>
                <w:rFonts w:hint="eastAsia" w:ascii="Times New Roman" w:hAnsi="Times New Roman"/>
                <w:sz w:val="24"/>
              </w:rPr>
              <w:t>项目厂界外周边50米范围内不存在声环境保护目标的建设项目，因此本项目无需监测保护目标声环境质量现状。</w:t>
            </w:r>
          </w:p>
          <w:p>
            <w:pPr>
              <w:adjustRightInd w:val="0"/>
              <w:snapToGrid w:val="0"/>
              <w:spacing w:line="360" w:lineRule="auto"/>
              <w:ind w:firstLine="482" w:firstLineChars="200"/>
              <w:jc w:val="left"/>
              <w:outlineLvl w:val="2"/>
              <w:rPr>
                <w:rFonts w:hint="eastAsia"/>
                <w:b/>
                <w:bCs/>
                <w:sz w:val="24"/>
                <w:lang w:val="en-US" w:eastAsia="zh-CN"/>
              </w:rPr>
            </w:pPr>
            <w:r>
              <w:rPr>
                <w:rFonts w:hint="eastAsia"/>
                <w:b/>
                <w:bCs/>
                <w:sz w:val="24"/>
                <w:lang w:val="en-US" w:eastAsia="zh-CN"/>
              </w:rPr>
              <w:t>4、生态环境现状调查与评价</w:t>
            </w:r>
          </w:p>
          <w:p>
            <w:pPr>
              <w:adjustRightInd w:val="0"/>
              <w:snapToGrid w:val="0"/>
              <w:spacing w:line="360" w:lineRule="auto"/>
              <w:ind w:firstLine="480" w:firstLineChars="200"/>
              <w:jc w:val="left"/>
              <w:outlineLvl w:val="2"/>
              <w:rPr>
                <w:rFonts w:hint="eastAsia"/>
                <w:sz w:val="24"/>
                <w:lang w:val="en-US" w:eastAsia="zh-CN"/>
              </w:rPr>
            </w:pPr>
            <w:r>
              <w:rPr>
                <w:rFonts w:hint="eastAsia"/>
                <w:sz w:val="24"/>
                <w:lang w:val="en-US" w:eastAsia="zh-CN"/>
              </w:rPr>
              <w:t>本项目位于已建工业厂区内，无需进行生态现状调查。</w:t>
            </w:r>
          </w:p>
          <w:p>
            <w:pPr>
              <w:adjustRightInd w:val="0"/>
              <w:snapToGrid w:val="0"/>
              <w:spacing w:line="360" w:lineRule="auto"/>
              <w:ind w:firstLine="482" w:firstLineChars="200"/>
              <w:jc w:val="left"/>
              <w:outlineLvl w:val="2"/>
              <w:rPr>
                <w:rFonts w:hint="eastAsia"/>
                <w:sz w:val="24"/>
                <w:lang w:val="en-US" w:eastAsia="zh-CN"/>
              </w:rPr>
            </w:pPr>
            <w:r>
              <w:rPr>
                <w:rFonts w:hint="eastAsia"/>
                <w:b/>
                <w:bCs/>
                <w:sz w:val="24"/>
                <w:lang w:val="en-US" w:eastAsia="zh-CN"/>
              </w:rPr>
              <w:t>5、地下水、土壤环境现状调查与评价</w:t>
            </w:r>
          </w:p>
          <w:p>
            <w:pPr>
              <w:adjustRightInd w:val="0"/>
              <w:snapToGrid w:val="0"/>
              <w:spacing w:line="360" w:lineRule="auto"/>
              <w:ind w:firstLine="480" w:firstLineChars="200"/>
              <w:jc w:val="left"/>
              <w:outlineLvl w:val="2"/>
              <w:rPr>
                <w:rFonts w:hint="default" w:ascii="Times New Roman" w:hAnsi="Times New Roman" w:eastAsia="宋体" w:cs="Times New Roman"/>
                <w:kern w:val="0"/>
                <w:szCs w:val="21"/>
                <w:lang w:val="en-US" w:eastAsia="zh-CN"/>
              </w:rPr>
            </w:pPr>
            <w:r>
              <w:rPr>
                <w:rFonts w:hint="eastAsia"/>
                <w:sz w:val="24"/>
                <w:lang w:val="en-US" w:eastAsia="zh-CN"/>
              </w:rPr>
              <w:t>本项目生产过程未产生持久性污染物和重金属等难降解污染物，不存在明显的土壤、地下水环境污染途径，因此不开展土壤、地下水现状调查。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8" w:hRule="atLeast"/>
          <w:jc w:val="center"/>
        </w:trPr>
        <w:tc>
          <w:tcPr>
            <w:tcW w:w="80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环境</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保护</w:t>
            </w:r>
          </w:p>
          <w:p>
            <w:pPr>
              <w:adjustRightInd w:val="0"/>
              <w:snapToGrid w:val="0"/>
              <w:jc w:val="center"/>
              <w:rPr>
                <w:rFonts w:hint="eastAsia" w:ascii="宋体" w:hAnsi="宋体" w:cs="宋体"/>
                <w:kern w:val="0"/>
                <w:szCs w:val="21"/>
              </w:rPr>
            </w:pPr>
            <w:r>
              <w:rPr>
                <w:rFonts w:hint="eastAsia" w:ascii="宋体" w:hAnsi="宋体" w:cs="宋体"/>
                <w:kern w:val="0"/>
                <w:sz w:val="24"/>
                <w:szCs w:val="24"/>
              </w:rPr>
              <w:t>目标</w:t>
            </w:r>
          </w:p>
        </w:tc>
        <w:tc>
          <w:tcPr>
            <w:tcW w:w="782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宋体"/>
                <w:color w:val="auto"/>
                <w:kern w:val="0"/>
                <w:sz w:val="24"/>
                <w:szCs w:val="20"/>
                <w:lang w:val="en-US" w:eastAsia="zh-CN" w:bidi="ar-SA"/>
              </w:rPr>
            </w:pPr>
            <w:r>
              <w:rPr>
                <w:rFonts w:hint="default" w:ascii="Times New Roman" w:hAnsi="Times New Roman" w:eastAsia="宋体" w:cs="宋体"/>
                <w:color w:val="auto"/>
                <w:kern w:val="0"/>
                <w:sz w:val="24"/>
                <w:szCs w:val="20"/>
                <w:lang w:val="en-US" w:eastAsia="zh-CN" w:bidi="ar-SA"/>
              </w:rPr>
              <w:t>主要环境保护目标（列出名单及保护级别）：</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b/>
                <w:bCs/>
              </w:rPr>
            </w:pPr>
            <w:r>
              <w:rPr>
                <w:rFonts w:hint="default" w:ascii="Times New Roman" w:hAnsi="Times New Roman" w:eastAsia="宋体" w:cs="Times New Roman"/>
                <w:b/>
                <w:bCs/>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 xml:space="preserve">、环境保护目标 </w:t>
            </w:r>
          </w:p>
          <w:p>
            <w:pPr>
              <w:pStyle w:val="104"/>
              <w:ind w:firstLine="480" w:firstLineChars="200"/>
              <w:rPr>
                <w:rFonts w:hint="default" w:ascii="Times New Roman" w:hAnsi="Times New Roman" w:eastAsia="宋体" w:cs="宋体"/>
                <w:snapToGrid/>
                <w:color w:val="auto"/>
                <w:kern w:val="0"/>
                <w:sz w:val="24"/>
                <w:szCs w:val="20"/>
                <w:lang w:val="en-US" w:eastAsia="zh-CN" w:bidi="ar-SA"/>
              </w:rPr>
            </w:pPr>
            <w:r>
              <w:rPr>
                <w:rFonts w:hint="default" w:ascii="Times New Roman" w:hAnsi="Times New Roman" w:eastAsia="宋体" w:cs="宋体"/>
                <w:snapToGrid/>
                <w:color w:val="auto"/>
                <w:kern w:val="0"/>
                <w:sz w:val="24"/>
                <w:szCs w:val="20"/>
                <w:lang w:val="en-US" w:eastAsia="zh-CN" w:bidi="ar-SA"/>
              </w:rPr>
              <w:t>评价范围内无名胜古迹、风景名胜区、自然保护区、生态功能保护区和生活饮用水水源地保护区等环境敏感区。</w:t>
            </w:r>
          </w:p>
          <w:p>
            <w:pPr>
              <w:pStyle w:val="104"/>
              <w:ind w:firstLine="480" w:firstLineChars="200"/>
              <w:rPr>
                <w:rFonts w:hint="default" w:ascii="Times New Roman" w:hAnsi="Times New Roman" w:eastAsia="宋体" w:cs="宋体"/>
                <w:snapToGrid/>
                <w:color w:val="auto"/>
                <w:kern w:val="0"/>
                <w:sz w:val="24"/>
                <w:szCs w:val="20"/>
                <w:lang w:val="en-US" w:eastAsia="zh-CN" w:bidi="ar-SA"/>
              </w:rPr>
            </w:pPr>
            <w:r>
              <w:rPr>
                <w:rFonts w:hint="default" w:ascii="Times New Roman" w:hAnsi="Times New Roman" w:eastAsia="宋体" w:cs="宋体"/>
                <w:snapToGrid/>
                <w:color w:val="auto"/>
                <w:kern w:val="0"/>
                <w:sz w:val="24"/>
                <w:szCs w:val="20"/>
                <w:lang w:val="en-US" w:eastAsia="zh-CN" w:bidi="ar-SA"/>
              </w:rPr>
              <w:t>根据现场勘查，项目所在区域水体为信江，建设项目周边环境保护居民示意图见附图</w:t>
            </w:r>
            <w:r>
              <w:rPr>
                <w:rFonts w:hint="eastAsia" w:ascii="Times New Roman" w:hAnsi="Times New Roman" w:cs="宋体"/>
                <w:snapToGrid/>
                <w:color w:val="auto"/>
                <w:kern w:val="0"/>
                <w:sz w:val="24"/>
                <w:szCs w:val="20"/>
                <w:lang w:val="en-US" w:eastAsia="zh-CN" w:bidi="ar-SA"/>
              </w:rPr>
              <w:t>四</w:t>
            </w:r>
            <w:r>
              <w:rPr>
                <w:rFonts w:hint="default" w:ascii="Times New Roman" w:hAnsi="Times New Roman" w:eastAsia="宋体" w:cs="宋体"/>
                <w:snapToGrid/>
                <w:color w:val="auto"/>
                <w:kern w:val="0"/>
                <w:sz w:val="24"/>
                <w:szCs w:val="20"/>
                <w:lang w:val="en-US" w:eastAsia="zh-CN" w:bidi="ar-SA"/>
              </w:rPr>
              <w:t>，项目区域周边敏感目标见表3-</w:t>
            </w:r>
            <w:r>
              <w:rPr>
                <w:rFonts w:hint="eastAsia" w:ascii="Times New Roman" w:hAnsi="Times New Roman" w:eastAsia="宋体" w:cs="宋体"/>
                <w:snapToGrid/>
                <w:color w:val="auto"/>
                <w:kern w:val="0"/>
                <w:sz w:val="24"/>
                <w:szCs w:val="20"/>
                <w:lang w:val="en-US" w:eastAsia="zh-CN" w:bidi="ar-SA"/>
              </w:rPr>
              <w:t>3</w:t>
            </w:r>
            <w:r>
              <w:rPr>
                <w:rFonts w:hint="default" w:ascii="Times New Roman" w:hAnsi="Times New Roman" w:eastAsia="宋体" w:cs="宋体"/>
                <w:snapToGrid/>
                <w:color w:val="auto"/>
                <w:kern w:val="0"/>
                <w:sz w:val="24"/>
                <w:szCs w:val="20"/>
                <w:lang w:val="en-US" w:eastAsia="zh-CN" w:bidi="ar-SA"/>
              </w:rPr>
              <w:t>。</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Cs w:val="21"/>
              </w:rPr>
            </w:pPr>
            <w:r>
              <w:rPr>
                <w:rFonts w:hint="default" w:ascii="Times New Roman" w:hAnsi="Times New Roman" w:cs="Times New Roman"/>
                <w:b/>
                <w:bCs/>
                <w:szCs w:val="21"/>
              </w:rPr>
              <w:t>表3-</w:t>
            </w:r>
            <w:r>
              <w:rPr>
                <w:rFonts w:hint="eastAsia" w:cs="Times New Roman"/>
                <w:b/>
                <w:bCs/>
                <w:szCs w:val="21"/>
                <w:lang w:val="en-US" w:eastAsia="zh-CN"/>
              </w:rPr>
              <w:t>3</w:t>
            </w:r>
            <w:r>
              <w:rPr>
                <w:rFonts w:hint="default" w:ascii="Times New Roman" w:hAnsi="Times New Roman" w:cs="Times New Roman"/>
                <w:b/>
                <w:bCs/>
                <w:szCs w:val="21"/>
              </w:rPr>
              <w:t xml:space="preserve"> 环境保护目标一览表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688"/>
              <w:gridCol w:w="694"/>
              <w:gridCol w:w="638"/>
              <w:gridCol w:w="548"/>
              <w:gridCol w:w="1383"/>
              <w:gridCol w:w="1017"/>
              <w:gridCol w:w="1404"/>
              <w:gridCol w:w="594"/>
              <w:gridCol w:w="6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jc w:val="center"/>
              </w:trPr>
              <w:tc>
                <w:tcPr>
                  <w:tcW w:w="452"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环境</w:t>
                  </w:r>
                </w:p>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要素</w:t>
                  </w:r>
                </w:p>
              </w:tc>
              <w:tc>
                <w:tcPr>
                  <w:tcW w:w="456"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779" w:type="pct"/>
                  <w:gridSpan w:val="2"/>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坐标/m</w:t>
                  </w:r>
                </w:p>
              </w:tc>
              <w:tc>
                <w:tcPr>
                  <w:tcW w:w="908"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保护对象</w:t>
                  </w:r>
                </w:p>
              </w:tc>
              <w:tc>
                <w:tcPr>
                  <w:tcW w:w="668"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保护内容</w:t>
                  </w:r>
                </w:p>
              </w:tc>
              <w:tc>
                <w:tcPr>
                  <w:tcW w:w="922"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环境功能区</w:t>
                  </w:r>
                </w:p>
              </w:tc>
              <w:tc>
                <w:tcPr>
                  <w:tcW w:w="390"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相对厂址方位</w:t>
                  </w:r>
                </w:p>
              </w:tc>
              <w:tc>
                <w:tcPr>
                  <w:tcW w:w="421" w:type="pct"/>
                  <w:vMerge w:val="restar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jc w:val="center"/>
              </w:trPr>
              <w:tc>
                <w:tcPr>
                  <w:tcW w:w="452" w:type="pct"/>
                  <w:vMerge w:val="continue"/>
                  <w:noWrap w:val="0"/>
                  <w:vAlign w:val="center"/>
                </w:tcPr>
                <w:p>
                  <w:pPr>
                    <w:widowControl/>
                    <w:jc w:val="center"/>
                    <w:rPr>
                      <w:rFonts w:hint="default" w:ascii="Times New Roman" w:hAnsi="Times New Roman" w:cs="Times New Roman"/>
                      <w:szCs w:val="21"/>
                    </w:rPr>
                  </w:pPr>
                </w:p>
              </w:tc>
              <w:tc>
                <w:tcPr>
                  <w:tcW w:w="456" w:type="pct"/>
                  <w:vMerge w:val="continue"/>
                  <w:noWrap w:val="0"/>
                  <w:vAlign w:val="center"/>
                </w:tcPr>
                <w:p>
                  <w:pPr>
                    <w:widowControl/>
                    <w:jc w:val="center"/>
                    <w:rPr>
                      <w:rFonts w:hint="default" w:ascii="Times New Roman" w:hAnsi="Times New Roman" w:cs="Times New Roman"/>
                      <w:szCs w:val="21"/>
                    </w:rPr>
                  </w:pPr>
                </w:p>
              </w:tc>
              <w:tc>
                <w:tcPr>
                  <w:tcW w:w="419" w:type="pc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X</w:t>
                  </w:r>
                </w:p>
              </w:tc>
              <w:tc>
                <w:tcPr>
                  <w:tcW w:w="360" w:type="pct"/>
                  <w:noWrap w:val="0"/>
                  <w:vAlign w:val="center"/>
                </w:tcPr>
                <w:p>
                  <w:pPr>
                    <w:widowControl/>
                    <w:jc w:val="center"/>
                    <w:textAlignment w:val="center"/>
                    <w:rPr>
                      <w:rFonts w:hint="default" w:ascii="Times New Roman" w:hAnsi="Times New Roman" w:cs="Times New Roman"/>
                      <w:b/>
                      <w:bCs/>
                      <w:szCs w:val="21"/>
                    </w:rPr>
                  </w:pPr>
                  <w:r>
                    <w:rPr>
                      <w:rFonts w:hint="default" w:ascii="Times New Roman" w:hAnsi="Times New Roman" w:cs="Times New Roman"/>
                      <w:b/>
                      <w:bCs/>
                      <w:szCs w:val="21"/>
                    </w:rPr>
                    <w:t>Y</w:t>
                  </w:r>
                </w:p>
              </w:tc>
              <w:tc>
                <w:tcPr>
                  <w:tcW w:w="908" w:type="pct"/>
                  <w:vMerge w:val="continue"/>
                  <w:noWrap w:val="0"/>
                  <w:vAlign w:val="center"/>
                </w:tcPr>
                <w:p>
                  <w:pPr>
                    <w:widowControl/>
                    <w:jc w:val="center"/>
                    <w:rPr>
                      <w:rFonts w:hint="default" w:ascii="Times New Roman" w:hAnsi="Times New Roman" w:cs="Times New Roman"/>
                      <w:szCs w:val="21"/>
                    </w:rPr>
                  </w:pPr>
                </w:p>
              </w:tc>
              <w:tc>
                <w:tcPr>
                  <w:tcW w:w="668" w:type="pct"/>
                  <w:vMerge w:val="continue"/>
                  <w:noWrap w:val="0"/>
                  <w:vAlign w:val="center"/>
                </w:tcPr>
                <w:p>
                  <w:pPr>
                    <w:widowControl/>
                    <w:jc w:val="center"/>
                    <w:rPr>
                      <w:rFonts w:hint="default" w:ascii="Times New Roman" w:hAnsi="Times New Roman" w:cs="Times New Roman"/>
                      <w:szCs w:val="21"/>
                    </w:rPr>
                  </w:pPr>
                </w:p>
              </w:tc>
              <w:tc>
                <w:tcPr>
                  <w:tcW w:w="922" w:type="pct"/>
                  <w:vMerge w:val="continue"/>
                  <w:noWrap w:val="0"/>
                  <w:vAlign w:val="center"/>
                </w:tcPr>
                <w:p>
                  <w:pPr>
                    <w:widowControl/>
                    <w:jc w:val="center"/>
                    <w:rPr>
                      <w:rFonts w:hint="default" w:ascii="Times New Roman" w:hAnsi="Times New Roman" w:cs="Times New Roman"/>
                      <w:szCs w:val="21"/>
                    </w:rPr>
                  </w:pPr>
                </w:p>
              </w:tc>
              <w:tc>
                <w:tcPr>
                  <w:tcW w:w="390" w:type="pct"/>
                  <w:vMerge w:val="continue"/>
                  <w:noWrap w:val="0"/>
                  <w:vAlign w:val="center"/>
                </w:tcPr>
                <w:p>
                  <w:pPr>
                    <w:widowControl/>
                    <w:jc w:val="center"/>
                    <w:rPr>
                      <w:rFonts w:hint="default" w:ascii="Times New Roman" w:hAnsi="Times New Roman" w:cs="Times New Roman"/>
                      <w:szCs w:val="21"/>
                    </w:rPr>
                  </w:pPr>
                </w:p>
              </w:tc>
              <w:tc>
                <w:tcPr>
                  <w:tcW w:w="421" w:type="pct"/>
                  <w:vMerge w:val="continue"/>
                  <w:noWrap w:val="0"/>
                  <w:vAlign w:val="center"/>
                </w:tcPr>
                <w:p>
                  <w:pPr>
                    <w:widowControl/>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jc w:val="center"/>
              </w:trPr>
              <w:tc>
                <w:tcPr>
                  <w:tcW w:w="45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大气</w:t>
                  </w:r>
                </w:p>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环境</w:t>
                  </w:r>
                </w:p>
              </w:tc>
              <w:tc>
                <w:tcPr>
                  <w:tcW w:w="456" w:type="pct"/>
                  <w:noWrap w:val="0"/>
                  <w:vAlign w:val="center"/>
                </w:tcPr>
                <w:p>
                  <w:pPr>
                    <w:snapToGrid w:val="0"/>
                    <w:spacing w:line="240" w:lineRule="atLeast"/>
                    <w:jc w:val="center"/>
                    <w:rPr>
                      <w:rFonts w:hint="default" w:ascii="Times New Roman" w:hAnsi="Times New Roman" w:eastAsia="宋体" w:cs="Times New Roman"/>
                      <w:szCs w:val="21"/>
                      <w:lang w:val="en-US" w:eastAsia="zh-CN"/>
                    </w:rPr>
                  </w:pPr>
                  <w:r>
                    <w:rPr>
                      <w:rFonts w:hint="eastAsia" w:cs="Times New Roman"/>
                      <w:szCs w:val="21"/>
                      <w:lang w:val="en-US" w:eastAsia="zh-CN"/>
                    </w:rPr>
                    <w:t>合口大坝鱼庄</w:t>
                  </w:r>
                </w:p>
              </w:tc>
              <w:tc>
                <w:tcPr>
                  <w:tcW w:w="419"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r>
                    <w:rPr>
                      <w:rFonts w:hint="eastAsia" w:cs="Times New Roman"/>
                      <w:szCs w:val="21"/>
                      <w:lang w:val="en-US" w:eastAsia="zh-CN"/>
                    </w:rPr>
                    <w:t>295</w:t>
                  </w:r>
                </w:p>
              </w:tc>
              <w:tc>
                <w:tcPr>
                  <w:tcW w:w="360"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w:t>
                  </w:r>
                  <w:r>
                    <w:rPr>
                      <w:rFonts w:hint="eastAsia" w:cs="Times New Roman"/>
                      <w:szCs w:val="21"/>
                      <w:lang w:val="en-US" w:eastAsia="zh-CN"/>
                    </w:rPr>
                    <w:t>120</w:t>
                  </w:r>
                </w:p>
              </w:tc>
              <w:tc>
                <w:tcPr>
                  <w:tcW w:w="908" w:type="pct"/>
                  <w:noWrap w:val="0"/>
                  <w:vAlign w:val="center"/>
                </w:tcPr>
                <w:p>
                  <w:pPr>
                    <w:widowControl/>
                    <w:jc w:val="center"/>
                    <w:textAlignment w:val="center"/>
                    <w:rPr>
                      <w:rFonts w:hint="default" w:ascii="Times New Roman" w:hAnsi="Times New Roman" w:cs="Times New Roman"/>
                      <w:szCs w:val="21"/>
                    </w:rPr>
                  </w:pPr>
                  <w:r>
                    <w:rPr>
                      <w:rFonts w:hint="eastAsia" w:cs="Times New Roman"/>
                      <w:szCs w:val="21"/>
                      <w:lang w:val="en-US" w:eastAsia="zh-CN"/>
                    </w:rPr>
                    <w:t>合口大坝鱼庄生活</w:t>
                  </w:r>
                  <w:r>
                    <w:rPr>
                      <w:rFonts w:hint="default" w:ascii="Times New Roman" w:hAnsi="Times New Roman" w:cs="Times New Roman"/>
                      <w:szCs w:val="21"/>
                    </w:rPr>
                    <w:t>区大气</w:t>
                  </w:r>
                </w:p>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环境</w:t>
                  </w:r>
                </w:p>
              </w:tc>
              <w:tc>
                <w:tcPr>
                  <w:tcW w:w="668" w:type="pct"/>
                  <w:noWrap w:val="0"/>
                  <w:vAlign w:val="center"/>
                </w:tcPr>
                <w:p>
                  <w:pPr>
                    <w:snapToGrid w:val="0"/>
                    <w:spacing w:line="240" w:lineRule="atLeast"/>
                    <w:jc w:val="center"/>
                    <w:rPr>
                      <w:rFonts w:hint="default" w:ascii="Times New Roman" w:hAnsi="Times New Roman" w:cs="Times New Roman"/>
                      <w:szCs w:val="21"/>
                    </w:rPr>
                  </w:pPr>
                  <w:r>
                    <w:rPr>
                      <w:rFonts w:hint="default" w:ascii="Times New Roman" w:hAnsi="Times New Roman" w:cs="Times New Roman"/>
                      <w:szCs w:val="21"/>
                    </w:rPr>
                    <w:t>约</w:t>
                  </w:r>
                  <w:r>
                    <w:rPr>
                      <w:rFonts w:hint="eastAsia" w:cs="Times New Roman"/>
                      <w:szCs w:val="21"/>
                      <w:lang w:val="en-US" w:eastAsia="zh-CN"/>
                    </w:rPr>
                    <w:t>2</w:t>
                  </w:r>
                  <w:r>
                    <w:rPr>
                      <w:rFonts w:hint="default" w:ascii="Times New Roman" w:hAnsi="Times New Roman" w:cs="Times New Roman"/>
                      <w:szCs w:val="21"/>
                    </w:rPr>
                    <w:t>0人</w:t>
                  </w:r>
                </w:p>
              </w:tc>
              <w:tc>
                <w:tcPr>
                  <w:tcW w:w="92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GB3095-2012中二类区</w:t>
                  </w:r>
                </w:p>
              </w:tc>
              <w:tc>
                <w:tcPr>
                  <w:tcW w:w="390" w:type="pct"/>
                  <w:noWrap w:val="0"/>
                  <w:vAlign w:val="center"/>
                </w:tcPr>
                <w:p>
                  <w:pPr>
                    <w:snapToGrid w:val="0"/>
                    <w:spacing w:line="240" w:lineRule="atLeas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西南</w:t>
                  </w:r>
                </w:p>
              </w:tc>
              <w:tc>
                <w:tcPr>
                  <w:tcW w:w="421" w:type="pct"/>
                  <w:noWrap w:val="0"/>
                  <w:vAlign w:val="center"/>
                </w:tcPr>
                <w:p>
                  <w:pPr>
                    <w:snapToGrid w:val="0"/>
                    <w:spacing w:line="240" w:lineRule="atLeas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w:t>
                  </w:r>
                  <w:r>
                    <w:rPr>
                      <w:rFonts w:hint="eastAsia" w:cs="Times New Roman"/>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jc w:val="center"/>
              </w:trPr>
              <w:tc>
                <w:tcPr>
                  <w:tcW w:w="45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声环境</w:t>
                  </w:r>
                </w:p>
              </w:tc>
              <w:tc>
                <w:tcPr>
                  <w:tcW w:w="456"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厂界四周1m</w:t>
                  </w:r>
                </w:p>
              </w:tc>
              <w:tc>
                <w:tcPr>
                  <w:tcW w:w="419"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360"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90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厂界噪声</w:t>
                  </w:r>
                </w:p>
              </w:tc>
              <w:tc>
                <w:tcPr>
                  <w:tcW w:w="66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声环境质量</w:t>
                  </w:r>
                </w:p>
              </w:tc>
              <w:tc>
                <w:tcPr>
                  <w:tcW w:w="92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GB 12348-2008中</w:t>
                  </w:r>
                  <w:r>
                    <w:rPr>
                      <w:rFonts w:hint="eastAsia" w:cs="Times New Roman"/>
                      <w:szCs w:val="21"/>
                      <w:lang w:val="en-US" w:eastAsia="zh-CN"/>
                    </w:rPr>
                    <w:t>3</w:t>
                  </w:r>
                  <w:r>
                    <w:rPr>
                      <w:rFonts w:hint="default" w:ascii="Times New Roman" w:hAnsi="Times New Roman" w:cs="Times New Roman"/>
                      <w:szCs w:val="21"/>
                    </w:rPr>
                    <w:t>类区</w:t>
                  </w:r>
                </w:p>
              </w:tc>
              <w:tc>
                <w:tcPr>
                  <w:tcW w:w="390"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厂界</w:t>
                  </w:r>
                </w:p>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四周</w:t>
                  </w:r>
                </w:p>
              </w:tc>
              <w:tc>
                <w:tcPr>
                  <w:tcW w:w="421"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jc w:val="center"/>
              </w:trPr>
              <w:tc>
                <w:tcPr>
                  <w:tcW w:w="452" w:type="pct"/>
                  <w:vMerge w:val="restar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水环境</w:t>
                  </w:r>
                </w:p>
              </w:tc>
              <w:tc>
                <w:tcPr>
                  <w:tcW w:w="456" w:type="pct"/>
                  <w:noWrap w:val="0"/>
                  <w:vAlign w:val="center"/>
                </w:tcPr>
                <w:p>
                  <w:pPr>
                    <w:widowControl/>
                    <w:jc w:val="center"/>
                    <w:textAlignment w:val="center"/>
                    <w:rPr>
                      <w:rFonts w:hint="default" w:ascii="Times New Roman" w:hAnsi="Times New Roman" w:eastAsia="宋体" w:cs="Times New Roman"/>
                      <w:szCs w:val="21"/>
                      <w:lang w:eastAsia="zh-CN"/>
                    </w:rPr>
                  </w:pPr>
                  <w:r>
                    <w:rPr>
                      <w:rFonts w:hint="default" w:ascii="Times New Roman" w:hAnsi="Times New Roman" w:eastAsia="宋体" w:cs="Times New Roman"/>
                      <w:sz w:val="21"/>
                      <w:szCs w:val="21"/>
                      <w:lang w:eastAsia="zh-CN"/>
                    </w:rPr>
                    <w:t>信江</w:t>
                  </w:r>
                </w:p>
              </w:tc>
              <w:tc>
                <w:tcPr>
                  <w:tcW w:w="419"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360"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908" w:type="pct"/>
                  <w:noWrap w:val="0"/>
                  <w:vAlign w:val="center"/>
                </w:tcPr>
                <w:p>
                  <w:pPr>
                    <w:widowControl/>
                    <w:jc w:val="center"/>
                    <w:textAlignment w:val="center"/>
                    <w:rPr>
                      <w:rFonts w:hint="eastAsia" w:ascii="Times New Roman" w:hAnsi="Times New Roman" w:eastAsia="宋体" w:cs="Times New Roman"/>
                      <w:szCs w:val="21"/>
                      <w:lang w:val="en-US" w:eastAsia="zh-CN"/>
                    </w:rPr>
                  </w:pPr>
                  <w:r>
                    <w:rPr>
                      <w:rFonts w:hint="eastAsia" w:cs="Times New Roman"/>
                      <w:szCs w:val="21"/>
                      <w:lang w:val="en-US" w:eastAsia="zh-CN"/>
                    </w:rPr>
                    <w:t>/</w:t>
                  </w:r>
                </w:p>
              </w:tc>
              <w:tc>
                <w:tcPr>
                  <w:tcW w:w="66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水环境质量/河水</w:t>
                  </w:r>
                </w:p>
              </w:tc>
              <w:tc>
                <w:tcPr>
                  <w:tcW w:w="922" w:type="pct"/>
                  <w:vMerge w:val="restar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szCs w:val="21"/>
                    </w:rPr>
                    <w:t>GB 3838-2002中Ⅲ类区</w:t>
                  </w:r>
                </w:p>
              </w:tc>
              <w:tc>
                <w:tcPr>
                  <w:tcW w:w="390"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东</w:t>
                  </w:r>
                  <w:r>
                    <w:rPr>
                      <w:rFonts w:hint="eastAsia" w:cs="Times New Roman"/>
                      <w:szCs w:val="21"/>
                      <w:lang w:val="en-US" w:eastAsia="zh-CN"/>
                    </w:rPr>
                    <w:t>面</w:t>
                  </w:r>
                </w:p>
              </w:tc>
              <w:tc>
                <w:tcPr>
                  <w:tcW w:w="421" w:type="pct"/>
                  <w:noWrap w:val="0"/>
                  <w:vAlign w:val="center"/>
                </w:tcPr>
                <w:p>
                  <w:pPr>
                    <w:widowControl/>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2300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jc w:val="center"/>
              </w:trPr>
              <w:tc>
                <w:tcPr>
                  <w:tcW w:w="452" w:type="pct"/>
                  <w:vMerge w:val="continue"/>
                  <w:noWrap w:val="0"/>
                  <w:vAlign w:val="center"/>
                </w:tcPr>
                <w:p>
                  <w:pPr>
                    <w:widowControl/>
                    <w:jc w:val="center"/>
                    <w:textAlignment w:val="center"/>
                    <w:rPr>
                      <w:rFonts w:hint="default" w:ascii="Times New Roman" w:hAnsi="Times New Roman" w:cs="Times New Roman"/>
                      <w:szCs w:val="21"/>
                    </w:rPr>
                  </w:pPr>
                </w:p>
              </w:tc>
              <w:tc>
                <w:tcPr>
                  <w:tcW w:w="456" w:type="pct"/>
                  <w:noWrap w:val="0"/>
                  <w:vAlign w:val="center"/>
                </w:tcPr>
                <w:p>
                  <w:pPr>
                    <w:widowControl/>
                    <w:jc w:val="center"/>
                    <w:textAlignment w:val="center"/>
                    <w:rPr>
                      <w:rFonts w:hint="eastAsia" w:cs="Times New Roman"/>
                      <w:szCs w:val="21"/>
                      <w:lang w:val="en-US" w:eastAsia="zh-CN"/>
                    </w:rPr>
                  </w:pPr>
                  <w:r>
                    <w:rPr>
                      <w:rFonts w:hint="eastAsia" w:cs="Times New Roman"/>
                      <w:szCs w:val="21"/>
                      <w:lang w:val="en-US" w:eastAsia="zh-CN"/>
                    </w:rPr>
                    <w:t>合口</w:t>
                  </w:r>
                </w:p>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Cs w:val="21"/>
                      <w:lang w:val="en-US" w:eastAsia="zh-CN"/>
                    </w:rPr>
                    <w:t>水库</w:t>
                  </w:r>
                </w:p>
              </w:tc>
              <w:tc>
                <w:tcPr>
                  <w:tcW w:w="419" w:type="pct"/>
                  <w:noWrap w:val="0"/>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w:t>
                  </w:r>
                </w:p>
              </w:tc>
              <w:tc>
                <w:tcPr>
                  <w:tcW w:w="360" w:type="pct"/>
                  <w:noWrap w:val="0"/>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w:t>
                  </w:r>
                </w:p>
              </w:tc>
              <w:tc>
                <w:tcPr>
                  <w:tcW w:w="908"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68" w:type="pct"/>
                  <w:noWrap w:val="0"/>
                  <w:vAlign w:val="center"/>
                </w:tcPr>
                <w:p>
                  <w:pPr>
                    <w:widowControl/>
                    <w:jc w:val="center"/>
                    <w:textAlignment w:val="center"/>
                    <w:rPr>
                      <w:rFonts w:hint="eastAsia" w:ascii="Times New Roman" w:hAnsi="Times New Roman" w:eastAsia="宋体" w:cs="Times New Roman"/>
                      <w:szCs w:val="21"/>
                      <w:lang w:eastAsia="zh-CN"/>
                    </w:rPr>
                  </w:pPr>
                  <w:r>
                    <w:rPr>
                      <w:rFonts w:hint="default" w:ascii="Times New Roman" w:hAnsi="Times New Roman" w:cs="Times New Roman"/>
                      <w:szCs w:val="21"/>
                    </w:rPr>
                    <w:t>水环境质量/</w:t>
                  </w:r>
                  <w:r>
                    <w:rPr>
                      <w:rFonts w:hint="eastAsia" w:ascii="Times New Roman" w:hAnsi="Times New Roman" w:cs="Times New Roman"/>
                      <w:szCs w:val="21"/>
                      <w:lang w:val="en-US" w:eastAsia="zh-CN"/>
                    </w:rPr>
                    <w:t>水库</w:t>
                  </w:r>
                </w:p>
              </w:tc>
              <w:tc>
                <w:tcPr>
                  <w:tcW w:w="922" w:type="pct"/>
                  <w:vMerge w:val="continue"/>
                  <w:noWrap w:val="0"/>
                  <w:vAlign w:val="center"/>
                </w:tcPr>
                <w:p>
                  <w:pPr>
                    <w:widowControl/>
                    <w:jc w:val="center"/>
                    <w:textAlignment w:val="center"/>
                    <w:rPr>
                      <w:rFonts w:hint="default" w:ascii="Times New Roman" w:hAnsi="Times New Roman" w:cs="Times New Roman"/>
                      <w:szCs w:val="21"/>
                    </w:rPr>
                  </w:pPr>
                </w:p>
              </w:tc>
              <w:tc>
                <w:tcPr>
                  <w:tcW w:w="390" w:type="pct"/>
                  <w:noWrap w:val="0"/>
                  <w:vAlign w:val="center"/>
                </w:tcPr>
                <w:p>
                  <w:pPr>
                    <w:widowControl/>
                    <w:jc w:val="center"/>
                    <w:textAlignment w:val="center"/>
                    <w:rPr>
                      <w:rFonts w:hint="default" w:ascii="Times New Roman" w:hAnsi="Times New Roman" w:cs="Times New Roman"/>
                      <w:szCs w:val="21"/>
                      <w:lang w:val="en-US" w:eastAsia="zh-CN"/>
                    </w:rPr>
                  </w:pPr>
                  <w:r>
                    <w:rPr>
                      <w:rFonts w:hint="eastAsia" w:cs="Times New Roman"/>
                      <w:szCs w:val="21"/>
                      <w:lang w:val="en-US" w:eastAsia="zh-CN"/>
                    </w:rPr>
                    <w:t>西面</w:t>
                  </w:r>
                </w:p>
              </w:tc>
              <w:tc>
                <w:tcPr>
                  <w:tcW w:w="421" w:type="pct"/>
                  <w:noWrap w:val="0"/>
                  <w:vAlign w:val="center"/>
                </w:tcPr>
                <w:p>
                  <w:pPr>
                    <w:widowControl/>
                    <w:jc w:val="center"/>
                    <w:textAlignment w:val="center"/>
                    <w:rPr>
                      <w:rFonts w:hint="default" w:cs="Times New Roman"/>
                      <w:szCs w:val="21"/>
                      <w:lang w:val="en-US" w:eastAsia="zh-CN"/>
                    </w:rPr>
                  </w:pPr>
                  <w:r>
                    <w:rPr>
                      <w:rFonts w:hint="eastAsia" w:cs="Times New Roman"/>
                      <w:szCs w:val="21"/>
                      <w:lang w:val="en-US" w:eastAsia="zh-CN"/>
                    </w:rPr>
                    <w:t>318</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default" w:ascii="Times New Roman" w:hAnsi="Times New Roman" w:cs="Times New Roman"/>
                <w:sz w:val="24"/>
                <w:szCs w:val="24"/>
              </w:rPr>
            </w:pP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、污染控制目标</w:t>
            </w:r>
          </w:p>
          <w:p>
            <w:pPr>
              <w:widowControl/>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①环境空气：保护目标为区域空气环境，保护级别为《环境空气质量标准》（GB 3095-2012）及修订单中二级。</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②水环境：保护目标为区域地表水体，保护级别为《地表水环境质量标准》（GB 3838-2002）中的III类。</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③声环境：保护目标为区域声环境，保护级别为《声环境质量标准》（GB 3096-2008）</w:t>
            </w:r>
            <w:r>
              <w:rPr>
                <w:rFonts w:hint="eastAsia" w:cs="Times New Roman"/>
                <w:sz w:val="24"/>
                <w:szCs w:val="24"/>
                <w:lang w:val="en-US" w:eastAsia="zh-CN"/>
              </w:rPr>
              <w:t>3</w:t>
            </w:r>
            <w:r>
              <w:rPr>
                <w:rFonts w:hint="default" w:ascii="Times New Roman" w:hAnsi="Times New Roman" w:cs="Times New Roman"/>
                <w:sz w:val="24"/>
                <w:szCs w:val="24"/>
              </w:rPr>
              <w:t>类功能区限值标准。</w:t>
            </w:r>
          </w:p>
          <w:p>
            <w:pPr>
              <w:adjustRightInd w:val="0"/>
              <w:snapToGrid w:val="0"/>
              <w:ind w:firstLine="480" w:firstLineChars="200"/>
              <w:jc w:val="left"/>
              <w:rPr>
                <w:rFonts w:hint="default" w:ascii="Times New Roman" w:hAnsi="Times New Roman" w:cs="Times New Roman"/>
                <w:bCs/>
                <w:kern w:val="0"/>
                <w:sz w:val="24"/>
                <w:szCs w:val="24"/>
                <w:lang w:bidi="ar"/>
              </w:rPr>
            </w:pPr>
            <w:r>
              <w:rPr>
                <w:rFonts w:hint="eastAsia" w:ascii="宋体" w:hAnsi="宋体" w:eastAsia="宋体" w:cs="宋体"/>
                <w:sz w:val="24"/>
                <w:szCs w:val="24"/>
              </w:rPr>
              <w:t>④</w:t>
            </w:r>
            <w:r>
              <w:rPr>
                <w:rFonts w:hint="default" w:ascii="Times New Roman" w:hAnsi="Times New Roman" w:cs="Times New Roman"/>
                <w:sz w:val="24"/>
                <w:szCs w:val="24"/>
              </w:rPr>
              <w:t>固体废物妥善处理与处置，以防对外界环境造成不良影响</w:t>
            </w:r>
            <w:r>
              <w:rPr>
                <w:rFonts w:hint="default" w:ascii="Times New Roman" w:hAnsi="Times New Roman" w:cs="Times New Roman"/>
                <w:bCs/>
                <w:kern w:val="0"/>
                <w:sz w:val="24"/>
                <w:szCs w:val="24"/>
                <w:lang w:bidi="ar"/>
              </w:rPr>
              <w:t>。</w:t>
            </w:r>
          </w:p>
          <w:p>
            <w:pPr>
              <w:adjustRightInd w:val="0"/>
              <w:snapToGrid w:val="0"/>
              <w:ind w:firstLine="480" w:firstLineChars="200"/>
              <w:jc w:val="left"/>
              <w:rPr>
                <w:rFonts w:hint="default" w:ascii="Times New Roman" w:hAnsi="Times New Roman" w:cs="Times New Roman"/>
                <w:bCs/>
                <w:kern w:val="0"/>
                <w:sz w:val="24"/>
                <w:szCs w:val="24"/>
                <w:lang w:bidi="ar"/>
              </w:rPr>
            </w:pPr>
          </w:p>
          <w:p>
            <w:pPr>
              <w:adjustRightInd w:val="0"/>
              <w:snapToGrid w:val="0"/>
              <w:jc w:val="left"/>
              <w:rPr>
                <w:rFonts w:hint="eastAsia" w:ascii="Times New Roman" w:hAnsi="Times New Roman" w:eastAsia="宋体" w:cs="Times New Roman"/>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污染</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物排</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放控</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制标</w:t>
            </w:r>
          </w:p>
          <w:p>
            <w:pPr>
              <w:adjustRightInd w:val="0"/>
              <w:snapToGrid w:val="0"/>
              <w:jc w:val="center"/>
              <w:rPr>
                <w:rFonts w:ascii="宋体" w:hAnsi="宋体" w:cs="宋体"/>
                <w:kern w:val="0"/>
                <w:szCs w:val="21"/>
              </w:rPr>
            </w:pPr>
            <w:r>
              <w:rPr>
                <w:rFonts w:hint="eastAsia" w:ascii="宋体" w:hAnsi="宋体" w:cs="宋体"/>
                <w:kern w:val="0"/>
                <w:sz w:val="24"/>
                <w:szCs w:val="24"/>
              </w:rPr>
              <w:t>准</w:t>
            </w:r>
          </w:p>
        </w:tc>
        <w:tc>
          <w:tcPr>
            <w:tcW w:w="7827" w:type="dxa"/>
            <w:noWrap w:val="0"/>
            <w:vAlign w:val="center"/>
          </w:tcPr>
          <w:p>
            <w:pPr>
              <w:pStyle w:val="70"/>
              <w:numPr>
                <w:ilvl w:val="0"/>
                <w:numId w:val="5"/>
              </w:numPr>
              <w:bidi w:val="0"/>
              <w:rPr>
                <w:rFonts w:ascii="Times New Roman" w:hAnsi="Times New Roman" w:eastAsia="宋体" w:cs="宋体"/>
                <w:color w:val="auto"/>
              </w:rPr>
            </w:pPr>
            <w:r>
              <w:rPr>
                <w:rFonts w:hint="eastAsia" w:ascii="Times New Roman" w:hAnsi="Times New Roman" w:eastAsia="宋体" w:cs="宋体"/>
                <w:b/>
                <w:bCs/>
                <w:color w:val="auto"/>
              </w:rPr>
              <w:t>废气</w:t>
            </w:r>
          </w:p>
          <w:p>
            <w:pPr>
              <w:pStyle w:val="70"/>
              <w:bidi w:val="0"/>
              <w:rPr>
                <w:rFonts w:ascii="Times New Roman" w:hAnsi="Times New Roman" w:eastAsia="宋体" w:cs="宋体"/>
                <w:color w:val="auto"/>
              </w:rPr>
            </w:pPr>
            <w:r>
              <w:rPr>
                <w:rFonts w:hint="eastAsia" w:ascii="Times New Roman" w:hAnsi="Times New Roman" w:eastAsia="宋体" w:cs="宋体"/>
                <w:color w:val="auto"/>
              </w:rPr>
              <w:t>项目</w:t>
            </w:r>
            <w:r>
              <w:rPr>
                <w:rFonts w:hint="eastAsia" w:ascii="Times New Roman" w:hAnsi="Times New Roman" w:eastAsia="宋体" w:cs="宋体"/>
                <w:color w:val="auto"/>
                <w:lang w:val="en-US" w:eastAsia="zh-CN"/>
              </w:rPr>
              <w:t>产生的</w:t>
            </w:r>
            <w:r>
              <w:rPr>
                <w:rFonts w:hint="eastAsia" w:ascii="Times New Roman" w:hAnsi="Times New Roman" w:eastAsia="宋体" w:cs="宋体"/>
                <w:color w:val="auto"/>
              </w:rPr>
              <w:t>TVOC排放参照执行天津地标</w:t>
            </w:r>
            <w:r>
              <w:rPr>
                <w:rFonts w:hint="eastAsia" w:cs="宋体"/>
                <w:color w:val="auto"/>
                <w:lang w:eastAsia="zh-CN"/>
              </w:rPr>
              <w:t>—</w:t>
            </w:r>
            <w:r>
              <w:rPr>
                <w:rFonts w:hint="eastAsia" w:ascii="Times New Roman" w:hAnsi="Times New Roman" w:eastAsia="宋体" w:cs="宋体"/>
                <w:color w:val="auto"/>
              </w:rPr>
              <w:t>《工业企业挥发性有机物排放控制标准》（DB12/524-2020）中表1、2排放限值</w:t>
            </w:r>
            <w:r>
              <w:rPr>
                <w:rFonts w:hint="eastAsia" w:ascii="Times New Roman" w:hAnsi="Times New Roman" w:eastAsia="宋体" w:cs="宋体"/>
                <w:color w:val="auto"/>
                <w:lang w:eastAsia="zh-CN"/>
              </w:rPr>
              <w:t>；</w:t>
            </w:r>
            <w:r>
              <w:rPr>
                <w:rFonts w:hint="eastAsia" w:ascii="Times New Roman" w:hAnsi="Times New Roman" w:eastAsia="宋体" w:cs="宋体"/>
                <w:color w:val="auto"/>
              </w:rPr>
              <w:t>厂区内无组织</w:t>
            </w:r>
            <w:r>
              <w:rPr>
                <w:rFonts w:ascii="Times New Roman" w:hAnsi="Times New Roman" w:eastAsia="宋体" w:cs="宋体"/>
                <w:color w:val="auto"/>
              </w:rPr>
              <w:t>NMHC</w:t>
            </w:r>
            <w:r>
              <w:rPr>
                <w:rFonts w:hint="eastAsia" w:ascii="Times New Roman" w:hAnsi="Times New Roman" w:eastAsia="宋体" w:cs="宋体"/>
                <w:color w:val="auto"/>
              </w:rPr>
              <w:t>执行《挥发性有机物无组织排放控制标准》（GB37822-2019）</w:t>
            </w:r>
            <w:r>
              <w:rPr>
                <w:rFonts w:hint="eastAsia" w:cs="Calibri"/>
                <w:color w:val="auto"/>
                <w:kern w:val="0"/>
                <w:sz w:val="24"/>
                <w:szCs w:val="24"/>
                <w:highlight w:val="none"/>
              </w:rPr>
              <w:t>排放限值</w:t>
            </w:r>
            <w:r>
              <w:rPr>
                <w:rFonts w:hint="eastAsia" w:ascii="Times New Roman" w:hAnsi="Times New Roman" w:eastAsia="宋体" w:cs="宋体"/>
                <w:color w:val="auto"/>
              </w:rPr>
              <w:t>。</w:t>
            </w:r>
          </w:p>
          <w:p>
            <w:pPr>
              <w:pStyle w:val="67"/>
              <w:rPr>
                <w:rFonts w:hint="eastAsia" w:ascii="Times New Roman" w:hAnsi="Times New Roman" w:eastAsia="宋体" w:cs="宋体"/>
                <w:color w:val="auto"/>
              </w:rPr>
            </w:pPr>
          </w:p>
          <w:p>
            <w:pPr>
              <w:pStyle w:val="67"/>
              <w:rPr>
                <w:rFonts w:hint="eastAsia" w:ascii="Times New Roman" w:hAnsi="Times New Roman" w:eastAsia="宋体" w:cs="宋体"/>
                <w:color w:val="auto"/>
              </w:rPr>
            </w:pPr>
          </w:p>
          <w:p>
            <w:pPr>
              <w:pStyle w:val="67"/>
              <w:rPr>
                <w:rFonts w:hint="eastAsia" w:ascii="Times New Roman" w:hAnsi="Times New Roman" w:eastAsia="宋体" w:cs="宋体"/>
                <w:color w:val="auto"/>
              </w:rPr>
            </w:pPr>
          </w:p>
          <w:p>
            <w:pPr>
              <w:pStyle w:val="67"/>
              <w:rPr>
                <w:rFonts w:hint="eastAsia" w:ascii="Times New Roman" w:hAnsi="Times New Roman" w:eastAsia="宋体" w:cs="宋体"/>
                <w:color w:val="auto"/>
              </w:rPr>
            </w:pPr>
          </w:p>
          <w:p>
            <w:pPr>
              <w:pStyle w:val="67"/>
              <w:rPr>
                <w:rFonts w:ascii="Times New Roman" w:hAnsi="Times New Roman" w:eastAsia="宋体" w:cs="宋体"/>
                <w:color w:val="FF0000"/>
              </w:rPr>
            </w:pPr>
            <w:r>
              <w:rPr>
                <w:rFonts w:hint="eastAsia" w:ascii="Times New Roman" w:hAnsi="Times New Roman" w:eastAsia="宋体" w:cs="宋体"/>
                <w:color w:val="FF0000"/>
              </w:rPr>
              <w:t>表3-</w:t>
            </w:r>
            <w:r>
              <w:rPr>
                <w:rFonts w:hint="eastAsia" w:cs="宋体"/>
                <w:color w:val="FF0000"/>
                <w:lang w:val="en-US" w:eastAsia="zh-CN"/>
              </w:rPr>
              <w:t>4</w:t>
            </w:r>
            <w:r>
              <w:rPr>
                <w:rFonts w:hint="eastAsia" w:ascii="Times New Roman" w:hAnsi="Times New Roman" w:eastAsia="宋体" w:cs="宋体"/>
                <w:color w:val="FF0000"/>
              </w:rPr>
              <w:t xml:space="preserve"> 大气污染物排放标准</w:t>
            </w:r>
          </w:p>
          <w:tbl>
            <w:tblPr>
              <w:tblStyle w:val="2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98"/>
              <w:gridCol w:w="799"/>
              <w:gridCol w:w="1128"/>
              <w:gridCol w:w="1400"/>
              <w:gridCol w:w="22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47"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污染物</w:t>
                  </w:r>
                </w:p>
              </w:tc>
              <w:tc>
                <w:tcPr>
                  <w:tcW w:w="787"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最高允许排放浓度（mg/m</w:t>
                  </w:r>
                  <w:r>
                    <w:rPr>
                      <w:rFonts w:ascii="Times New Roman" w:hAnsi="Times New Roman" w:eastAsia="宋体" w:cs="宋体"/>
                      <w:b/>
                      <w:bCs/>
                      <w:color w:val="FF0000"/>
                      <w:szCs w:val="21"/>
                      <w:vertAlign w:val="superscript"/>
                    </w:rPr>
                    <w:t>3</w:t>
                  </w:r>
                  <w:r>
                    <w:rPr>
                      <w:rFonts w:ascii="Times New Roman" w:hAnsi="Times New Roman" w:eastAsia="宋体" w:cs="宋体"/>
                      <w:b/>
                      <w:bCs/>
                      <w:color w:val="FF0000"/>
                      <w:szCs w:val="21"/>
                    </w:rPr>
                    <w:t>）</w:t>
                  </w:r>
                </w:p>
              </w:tc>
              <w:tc>
                <w:tcPr>
                  <w:tcW w:w="525"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排气筒高度（m）</w:t>
                  </w:r>
                </w:p>
              </w:tc>
              <w:tc>
                <w:tcPr>
                  <w:tcW w:w="741"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最高允许排放速率（kg/h</w:t>
                  </w:r>
                  <w:r>
                    <w:rPr>
                      <w:rFonts w:hint="eastAsia" w:ascii="Times New Roman" w:hAnsi="Times New Roman" w:eastAsia="宋体" w:cs="宋体"/>
                      <w:b/>
                      <w:bCs/>
                      <w:color w:val="FF0000"/>
                      <w:szCs w:val="21"/>
                    </w:rPr>
                    <w:t>）</w:t>
                  </w:r>
                </w:p>
              </w:tc>
              <w:tc>
                <w:tcPr>
                  <w:tcW w:w="917"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无组织排放监浓度限值</w:t>
                  </w:r>
                  <w:r>
                    <w:rPr>
                      <w:rFonts w:hint="eastAsia" w:cs="宋体"/>
                      <w:b/>
                      <w:bCs/>
                      <w:color w:val="FF0000"/>
                      <w:szCs w:val="21"/>
                      <w:lang w:eastAsia="zh-CN"/>
                    </w:rPr>
                    <w:t>（</w:t>
                  </w:r>
                  <w:r>
                    <w:rPr>
                      <w:rFonts w:ascii="Times New Roman" w:hAnsi="Times New Roman" w:eastAsia="宋体" w:cs="宋体"/>
                      <w:b/>
                      <w:bCs/>
                      <w:color w:val="FF0000"/>
                      <w:szCs w:val="21"/>
                    </w:rPr>
                    <w:t>mg/m</w:t>
                  </w:r>
                  <w:r>
                    <w:rPr>
                      <w:rFonts w:ascii="Times New Roman" w:hAnsi="Times New Roman" w:eastAsia="宋体" w:cs="宋体"/>
                      <w:b/>
                      <w:bCs/>
                      <w:color w:val="FF0000"/>
                      <w:szCs w:val="21"/>
                      <w:vertAlign w:val="superscript"/>
                    </w:rPr>
                    <w:t>3</w:t>
                  </w:r>
                  <w:r>
                    <w:rPr>
                      <w:rFonts w:hint="eastAsia" w:cs="宋体"/>
                      <w:b/>
                      <w:bCs/>
                      <w:color w:val="FF0000"/>
                      <w:szCs w:val="21"/>
                      <w:lang w:eastAsia="zh-CN"/>
                    </w:rPr>
                    <w:t>）</w:t>
                  </w:r>
                </w:p>
              </w:tc>
              <w:tc>
                <w:tcPr>
                  <w:tcW w:w="1479" w:type="pct"/>
                  <w:tcBorders>
                    <w:tl2br w:val="nil"/>
                    <w:tr2bl w:val="nil"/>
                  </w:tcBorders>
                  <w:vAlign w:val="center"/>
                </w:tcPr>
                <w:p>
                  <w:pPr>
                    <w:pStyle w:val="69"/>
                    <w:rPr>
                      <w:rFonts w:ascii="Times New Roman" w:hAnsi="Times New Roman" w:eastAsia="宋体" w:cs="宋体"/>
                      <w:b/>
                      <w:bCs/>
                      <w:color w:val="FF0000"/>
                      <w:szCs w:val="21"/>
                    </w:rPr>
                  </w:pPr>
                  <w:r>
                    <w:rPr>
                      <w:rFonts w:ascii="Times New Roman" w:hAnsi="Times New Roman" w:eastAsia="宋体" w:cs="宋体"/>
                      <w:b/>
                      <w:bCs/>
                      <w:color w:val="FF0000"/>
                      <w:szCs w:val="21"/>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47" w:type="pct"/>
                  <w:tcBorders>
                    <w:tl2br w:val="nil"/>
                    <w:tr2bl w:val="nil"/>
                  </w:tcBorders>
                  <w:vAlign w:val="center"/>
                </w:tcPr>
                <w:p>
                  <w:pPr>
                    <w:pStyle w:val="69"/>
                    <w:rPr>
                      <w:rFonts w:ascii="Times New Roman" w:hAnsi="Times New Roman" w:eastAsia="宋体" w:cs="宋体"/>
                      <w:color w:val="FF0000"/>
                      <w:kern w:val="2"/>
                      <w:sz w:val="21"/>
                      <w:szCs w:val="21"/>
                      <w:lang w:val="en-US" w:eastAsia="zh-CN" w:bidi="ar-SA"/>
                    </w:rPr>
                  </w:pPr>
                  <w:r>
                    <w:rPr>
                      <w:rFonts w:hint="eastAsia" w:ascii="Times New Roman" w:hAnsi="Times New Roman" w:eastAsia="宋体" w:cs="宋体"/>
                      <w:color w:val="FF0000"/>
                      <w:szCs w:val="21"/>
                    </w:rPr>
                    <w:t>TVOC</w:t>
                  </w:r>
                </w:p>
              </w:tc>
              <w:tc>
                <w:tcPr>
                  <w:tcW w:w="787" w:type="pct"/>
                  <w:tcBorders>
                    <w:tl2br w:val="nil"/>
                    <w:tr2bl w:val="nil"/>
                  </w:tcBorders>
                  <w:vAlign w:val="center"/>
                </w:tcPr>
                <w:p>
                  <w:pPr>
                    <w:pStyle w:val="69"/>
                    <w:rPr>
                      <w:rFonts w:hint="default" w:ascii="Times New Roman" w:hAnsi="Times New Roman" w:eastAsia="宋体" w:cs="宋体"/>
                      <w:color w:val="FF0000"/>
                      <w:kern w:val="2"/>
                      <w:sz w:val="21"/>
                      <w:szCs w:val="21"/>
                      <w:lang w:val="en-US" w:eastAsia="zh-CN" w:bidi="ar-SA"/>
                    </w:rPr>
                  </w:pPr>
                  <w:r>
                    <w:rPr>
                      <w:rFonts w:hint="eastAsia" w:cs="宋体"/>
                      <w:color w:val="FF0000"/>
                      <w:szCs w:val="21"/>
                      <w:lang w:val="en-US" w:eastAsia="zh-CN"/>
                    </w:rPr>
                    <w:t>60</w:t>
                  </w:r>
                </w:p>
              </w:tc>
              <w:tc>
                <w:tcPr>
                  <w:tcW w:w="525" w:type="pct"/>
                  <w:tcBorders>
                    <w:tl2br w:val="nil"/>
                    <w:tr2bl w:val="nil"/>
                  </w:tcBorders>
                  <w:vAlign w:val="center"/>
                </w:tcPr>
                <w:p>
                  <w:pPr>
                    <w:pStyle w:val="69"/>
                    <w:rPr>
                      <w:rFonts w:ascii="Times New Roman" w:hAnsi="Times New Roman" w:eastAsia="宋体" w:cs="宋体"/>
                      <w:color w:val="FF0000"/>
                      <w:kern w:val="2"/>
                      <w:sz w:val="21"/>
                      <w:szCs w:val="21"/>
                      <w:lang w:val="en-US" w:eastAsia="zh-CN" w:bidi="ar-SA"/>
                    </w:rPr>
                  </w:pPr>
                  <w:r>
                    <w:rPr>
                      <w:rFonts w:hint="eastAsia" w:ascii="Times New Roman" w:hAnsi="Times New Roman" w:eastAsia="宋体" w:cs="宋体"/>
                      <w:color w:val="FF0000"/>
                      <w:szCs w:val="21"/>
                    </w:rPr>
                    <w:t>15</w:t>
                  </w:r>
                </w:p>
              </w:tc>
              <w:tc>
                <w:tcPr>
                  <w:tcW w:w="741" w:type="pct"/>
                  <w:tcBorders>
                    <w:tl2br w:val="nil"/>
                    <w:tr2bl w:val="nil"/>
                  </w:tcBorders>
                  <w:vAlign w:val="center"/>
                </w:tcPr>
                <w:p>
                  <w:pPr>
                    <w:pStyle w:val="69"/>
                    <w:rPr>
                      <w:rFonts w:hint="default" w:ascii="Times New Roman" w:hAnsi="Times New Roman" w:eastAsia="宋体" w:cs="宋体"/>
                      <w:color w:val="FF0000"/>
                      <w:kern w:val="2"/>
                      <w:sz w:val="21"/>
                      <w:szCs w:val="21"/>
                      <w:lang w:val="en-US" w:eastAsia="zh-CN" w:bidi="ar-SA"/>
                    </w:rPr>
                  </w:pPr>
                  <w:r>
                    <w:rPr>
                      <w:rFonts w:hint="eastAsia" w:cs="宋体"/>
                      <w:color w:val="FF0000"/>
                      <w:szCs w:val="21"/>
                      <w:lang w:val="en-US" w:eastAsia="zh-CN"/>
                    </w:rPr>
                    <w:t>1.8</w:t>
                  </w:r>
                </w:p>
              </w:tc>
              <w:tc>
                <w:tcPr>
                  <w:tcW w:w="917" w:type="pct"/>
                  <w:tcBorders>
                    <w:tl2br w:val="nil"/>
                    <w:tr2bl w:val="nil"/>
                  </w:tcBorders>
                  <w:vAlign w:val="center"/>
                </w:tcPr>
                <w:p>
                  <w:pPr>
                    <w:pStyle w:val="69"/>
                    <w:rPr>
                      <w:rFonts w:ascii="Times New Roman" w:hAnsi="Times New Roman" w:eastAsia="宋体" w:cs="宋体"/>
                      <w:color w:val="FF0000"/>
                      <w:kern w:val="2"/>
                      <w:sz w:val="21"/>
                      <w:szCs w:val="21"/>
                      <w:lang w:val="en-US" w:eastAsia="zh-CN" w:bidi="ar-SA"/>
                    </w:rPr>
                  </w:pPr>
                  <w:r>
                    <w:rPr>
                      <w:rFonts w:hint="eastAsia" w:cs="宋体"/>
                      <w:color w:val="FF0000"/>
                      <w:szCs w:val="21"/>
                      <w:lang w:val="en-US" w:eastAsia="zh-CN"/>
                    </w:rPr>
                    <w:t>2</w:t>
                  </w:r>
                  <w:r>
                    <w:rPr>
                      <w:rFonts w:hint="eastAsia" w:ascii="Times New Roman" w:hAnsi="Times New Roman" w:eastAsia="宋体" w:cs="宋体"/>
                      <w:color w:val="FF0000"/>
                      <w:szCs w:val="21"/>
                    </w:rPr>
                    <w:t>.0</w:t>
                  </w:r>
                </w:p>
              </w:tc>
              <w:tc>
                <w:tcPr>
                  <w:tcW w:w="1479" w:type="pct"/>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rPr>
                    <w:t>《工业企业挥发性有机物排放控制标准》（DB12/524-2020）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7" w:type="pct"/>
                  <w:vMerge w:val="restart"/>
                  <w:tcBorders>
                    <w:tl2br w:val="nil"/>
                    <w:tr2bl w:val="nil"/>
                  </w:tcBorders>
                  <w:vAlign w:val="center"/>
                </w:tcPr>
                <w:p>
                  <w:pPr>
                    <w:pStyle w:val="69"/>
                    <w:rPr>
                      <w:rFonts w:ascii="Times New Roman" w:hAnsi="Times New Roman" w:eastAsia="宋体" w:cs="宋体"/>
                      <w:color w:val="FF0000"/>
                      <w:szCs w:val="21"/>
                    </w:rPr>
                  </w:pPr>
                  <w:r>
                    <w:rPr>
                      <w:rFonts w:ascii="Times New Roman" w:hAnsi="Times New Roman" w:eastAsia="宋体" w:cs="宋体"/>
                      <w:color w:val="FF0000"/>
                      <w:szCs w:val="21"/>
                    </w:rPr>
                    <w:t>NMHC</w:t>
                  </w:r>
                </w:p>
              </w:tc>
              <w:tc>
                <w:tcPr>
                  <w:tcW w:w="2972" w:type="pct"/>
                  <w:gridSpan w:val="4"/>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szCs w:val="21"/>
                    </w:rPr>
                    <w:t>10</w:t>
                  </w:r>
                  <w:r>
                    <w:rPr>
                      <w:rFonts w:ascii="Times New Roman" w:hAnsi="Times New Roman" w:eastAsia="宋体" w:cs="宋体"/>
                      <w:color w:val="FF0000"/>
                      <w:szCs w:val="21"/>
                    </w:rPr>
                    <w:t xml:space="preserve"> mg/m</w:t>
                  </w:r>
                  <w:r>
                    <w:rPr>
                      <w:rFonts w:ascii="Times New Roman" w:hAnsi="Times New Roman" w:eastAsia="宋体" w:cs="宋体"/>
                      <w:color w:val="FF0000"/>
                      <w:szCs w:val="21"/>
                      <w:vertAlign w:val="superscript"/>
                    </w:rPr>
                    <w:t>3</w:t>
                  </w:r>
                  <w:r>
                    <w:rPr>
                      <w:rFonts w:hint="eastAsia" w:ascii="Times New Roman" w:hAnsi="Times New Roman" w:eastAsia="宋体" w:cs="宋体"/>
                      <w:color w:val="FF0000"/>
                      <w:szCs w:val="21"/>
                      <w:vertAlign w:val="superscript"/>
                    </w:rPr>
                    <w:t xml:space="preserve"> </w:t>
                  </w:r>
                  <w:r>
                    <w:rPr>
                      <w:rFonts w:hint="eastAsia" w:ascii="Times New Roman" w:hAnsi="Times New Roman" w:eastAsia="宋体" w:cs="宋体"/>
                      <w:color w:val="FF0000"/>
                      <w:szCs w:val="21"/>
                    </w:rPr>
                    <w:t>(注：此限值含义为厂房外监控点处1h平均浓度限值)</w:t>
                  </w:r>
                </w:p>
              </w:tc>
              <w:tc>
                <w:tcPr>
                  <w:tcW w:w="1479" w:type="pct"/>
                  <w:vMerge w:val="restart"/>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szCs w:val="21"/>
                    </w:rPr>
                    <w:t>《挥发性有机物无组织排放控制标准》（GB37822-2019）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47" w:type="pct"/>
                  <w:vMerge w:val="continue"/>
                  <w:tcBorders>
                    <w:tl2br w:val="nil"/>
                    <w:tr2bl w:val="nil"/>
                  </w:tcBorders>
                  <w:vAlign w:val="center"/>
                </w:tcPr>
                <w:p>
                  <w:pPr>
                    <w:pStyle w:val="69"/>
                    <w:rPr>
                      <w:rFonts w:ascii="Times New Roman" w:hAnsi="Times New Roman" w:eastAsia="宋体" w:cs="宋体"/>
                      <w:color w:val="FF0000"/>
                      <w:szCs w:val="21"/>
                    </w:rPr>
                  </w:pPr>
                </w:p>
              </w:tc>
              <w:tc>
                <w:tcPr>
                  <w:tcW w:w="2972" w:type="pct"/>
                  <w:gridSpan w:val="4"/>
                  <w:tcBorders>
                    <w:tl2br w:val="nil"/>
                    <w:tr2bl w:val="nil"/>
                  </w:tcBorders>
                  <w:vAlign w:val="center"/>
                </w:tcPr>
                <w:p>
                  <w:pPr>
                    <w:pStyle w:val="69"/>
                    <w:rPr>
                      <w:rFonts w:ascii="Times New Roman" w:hAnsi="Times New Roman" w:eastAsia="宋体" w:cs="宋体"/>
                      <w:color w:val="FF0000"/>
                      <w:szCs w:val="21"/>
                    </w:rPr>
                  </w:pPr>
                  <w:r>
                    <w:rPr>
                      <w:rFonts w:hint="eastAsia" w:ascii="Times New Roman" w:hAnsi="Times New Roman" w:eastAsia="宋体" w:cs="宋体"/>
                      <w:color w:val="FF0000"/>
                      <w:szCs w:val="21"/>
                    </w:rPr>
                    <w:t>30</w:t>
                  </w:r>
                  <w:r>
                    <w:rPr>
                      <w:rFonts w:ascii="Times New Roman" w:hAnsi="Times New Roman" w:eastAsia="宋体" w:cs="宋体"/>
                      <w:color w:val="FF0000"/>
                      <w:szCs w:val="21"/>
                    </w:rPr>
                    <w:t>mg/m</w:t>
                  </w:r>
                  <w:r>
                    <w:rPr>
                      <w:rFonts w:ascii="Times New Roman" w:hAnsi="Times New Roman" w:eastAsia="宋体" w:cs="宋体"/>
                      <w:color w:val="FF0000"/>
                      <w:szCs w:val="21"/>
                      <w:vertAlign w:val="superscript"/>
                    </w:rPr>
                    <w:t>3</w:t>
                  </w:r>
                  <w:r>
                    <w:rPr>
                      <w:rFonts w:ascii="Times New Roman" w:hAnsi="Times New Roman" w:eastAsia="宋体" w:cs="宋体"/>
                      <w:color w:val="FF0000"/>
                      <w:szCs w:val="21"/>
                    </w:rPr>
                    <w:t>（</w:t>
                  </w:r>
                  <w:r>
                    <w:rPr>
                      <w:rFonts w:hint="eastAsia" w:ascii="Times New Roman" w:hAnsi="Times New Roman" w:eastAsia="宋体" w:cs="宋体"/>
                      <w:color w:val="FF0000"/>
                      <w:szCs w:val="21"/>
                    </w:rPr>
                    <w:t>注：此限值含义为</w:t>
                  </w:r>
                  <w:r>
                    <w:rPr>
                      <w:rFonts w:ascii="Times New Roman" w:hAnsi="Times New Roman" w:eastAsia="宋体" w:cs="宋体"/>
                      <w:color w:val="FF0000"/>
                      <w:szCs w:val="21"/>
                    </w:rPr>
                    <w:t>监控点处任意一次浓度值）</w:t>
                  </w:r>
                </w:p>
              </w:tc>
              <w:tc>
                <w:tcPr>
                  <w:tcW w:w="1479" w:type="pct"/>
                  <w:vMerge w:val="continue"/>
                  <w:tcBorders>
                    <w:tl2br w:val="nil"/>
                    <w:tr2bl w:val="nil"/>
                  </w:tcBorders>
                </w:tcPr>
                <w:p>
                  <w:pPr>
                    <w:pStyle w:val="69"/>
                    <w:rPr>
                      <w:rFonts w:ascii="Times New Roman" w:hAnsi="Times New Roman" w:eastAsia="宋体" w:cs="宋体"/>
                      <w:color w:val="FF0000"/>
                      <w:szCs w:val="21"/>
                    </w:rPr>
                  </w:pP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b/>
                <w:bCs/>
                <w:color w:val="auto"/>
              </w:rPr>
            </w:pPr>
            <w:r>
              <w:rPr>
                <w:rFonts w:hint="eastAsia" w:ascii="Times New Roman" w:hAnsi="Times New Roman" w:eastAsia="宋体" w:cs="宋体"/>
                <w:b/>
                <w:bCs/>
                <w:color w:val="auto"/>
              </w:rPr>
              <w:t>2、废水</w:t>
            </w:r>
          </w:p>
          <w:p>
            <w:pPr>
              <w:pStyle w:val="70"/>
              <w:bidi w:val="0"/>
              <w:rPr>
                <w:rFonts w:ascii="Times New Roman" w:hAnsi="Times New Roman" w:eastAsia="宋体" w:cs="宋体"/>
                <w:color w:val="auto"/>
              </w:rPr>
            </w:pPr>
            <w:r>
              <w:rPr>
                <w:rFonts w:ascii="Times New Roman" w:hAnsi="Times New Roman" w:eastAsia="宋体" w:cs="宋体"/>
                <w:color w:val="auto"/>
              </w:rPr>
              <w:t>项目</w:t>
            </w:r>
            <w:r>
              <w:rPr>
                <w:rFonts w:hint="eastAsia" w:cs="宋体"/>
                <w:color w:val="auto"/>
                <w:lang w:val="en-US" w:eastAsia="zh-CN"/>
              </w:rPr>
              <w:t>综合</w:t>
            </w:r>
            <w:r>
              <w:rPr>
                <w:rFonts w:hint="eastAsia" w:ascii="Times New Roman" w:hAnsi="Times New Roman" w:eastAsia="宋体" w:cs="宋体"/>
                <w:color w:val="auto"/>
              </w:rPr>
              <w:t>废水经</w:t>
            </w:r>
            <w:r>
              <w:rPr>
                <w:rFonts w:hint="eastAsia" w:cs="Times New Roman"/>
                <w:sz w:val="24"/>
                <w:lang w:eastAsia="zh-CN"/>
              </w:rPr>
              <w:t>地埋式污水处理设施</w:t>
            </w:r>
            <w:r>
              <w:rPr>
                <w:rFonts w:hint="eastAsia" w:ascii="Times New Roman" w:hAnsi="Times New Roman" w:eastAsia="宋体" w:cs="宋体"/>
                <w:color w:val="auto"/>
              </w:rPr>
              <w:t>预处理</w:t>
            </w:r>
            <w:r>
              <w:rPr>
                <w:rFonts w:hint="eastAsia" w:cs="宋体"/>
                <w:color w:val="auto"/>
                <w:lang w:eastAsia="zh-CN"/>
              </w:rPr>
              <w:t>，达到《污水综合排放标准》（GB8978</w:t>
            </w:r>
            <w:r>
              <w:rPr>
                <w:rFonts w:hint="eastAsia" w:cs="宋体"/>
                <w:color w:val="auto"/>
                <w:lang w:val="en-US" w:eastAsia="zh-CN"/>
              </w:rPr>
              <w:t>-</w:t>
            </w:r>
            <w:r>
              <w:rPr>
                <w:rFonts w:hint="eastAsia" w:cs="宋体"/>
                <w:color w:val="auto"/>
                <w:lang w:eastAsia="zh-CN"/>
              </w:rPr>
              <w:t>1996）</w:t>
            </w:r>
            <w:r>
              <w:rPr>
                <w:rFonts w:ascii="Times New Roman" w:hAnsi="Times New Roman" w:eastAsia="宋体" w:cs="Times New Roman"/>
                <w:color w:val="auto"/>
                <w:sz w:val="24"/>
                <w:szCs w:val="24"/>
              </w:rPr>
              <w:t>表4中一级标准</w:t>
            </w:r>
            <w:r>
              <w:rPr>
                <w:rFonts w:hint="eastAsia" w:cs="宋体"/>
                <w:color w:val="auto"/>
                <w:lang w:eastAsia="zh-CN"/>
              </w:rPr>
              <w:t>后排入污水管网</w:t>
            </w:r>
            <w:r>
              <w:rPr>
                <w:rFonts w:hint="eastAsia" w:cs="宋体"/>
                <w:color w:val="auto"/>
                <w:lang w:val="en-US" w:eastAsia="zh-CN"/>
              </w:rPr>
              <w:t>，</w:t>
            </w:r>
            <w:r>
              <w:rPr>
                <w:rFonts w:hint="eastAsia" w:ascii="Times New Roman" w:hAnsi="Times New Roman" w:eastAsia="宋体" w:cs="宋体"/>
                <w:color w:val="auto"/>
              </w:rPr>
              <w:t>通过污水管网排入上饶</w:t>
            </w:r>
            <w:r>
              <w:rPr>
                <w:rFonts w:ascii="Times New Roman" w:hAnsi="Times New Roman" w:eastAsia="宋体" w:cs="宋体"/>
                <w:color w:val="auto"/>
              </w:rPr>
              <w:t>经济技术开发区污水处理厂深度</w:t>
            </w:r>
            <w:r>
              <w:rPr>
                <w:rFonts w:hint="eastAsia" w:ascii="Times New Roman" w:hAnsi="Times New Roman" w:eastAsia="宋体" w:cs="宋体"/>
                <w:color w:val="auto"/>
              </w:rPr>
              <w:t>处理，尾水排放执行《城镇污水处理厂污染物排放标准》（GB18918-2002）一级B标准</w:t>
            </w:r>
            <w:r>
              <w:rPr>
                <w:rFonts w:ascii="Times New Roman" w:hAnsi="Times New Roman" w:eastAsia="宋体" w:cs="宋体"/>
                <w:color w:val="auto"/>
              </w:rPr>
              <w:t>，最后排入信江。详见</w:t>
            </w:r>
            <w:r>
              <w:rPr>
                <w:rFonts w:hint="eastAsia" w:ascii="Times New Roman" w:hAnsi="Times New Roman" w:eastAsia="宋体" w:cs="宋体"/>
                <w:color w:val="auto"/>
              </w:rPr>
              <w:t>下</w:t>
            </w:r>
            <w:r>
              <w:rPr>
                <w:rFonts w:ascii="Times New Roman" w:hAnsi="Times New Roman" w:eastAsia="宋体" w:cs="宋体"/>
                <w:color w:val="auto"/>
              </w:rPr>
              <w:t>表。</w:t>
            </w:r>
          </w:p>
          <w:p>
            <w:pPr>
              <w:pStyle w:val="67"/>
              <w:rPr>
                <w:rFonts w:ascii="Times New Roman" w:hAnsi="Times New Roman" w:eastAsia="宋体" w:cs="宋体"/>
                <w:color w:val="FF0000"/>
              </w:rPr>
            </w:pPr>
            <w:r>
              <w:rPr>
                <w:rFonts w:hint="eastAsia" w:ascii="Times New Roman" w:hAnsi="Times New Roman" w:eastAsia="宋体" w:cs="宋体"/>
                <w:color w:val="FF0000"/>
              </w:rPr>
              <w:t>表3-</w:t>
            </w:r>
            <w:r>
              <w:rPr>
                <w:rFonts w:hint="eastAsia" w:cs="宋体"/>
                <w:color w:val="FF0000"/>
                <w:lang w:val="en-US" w:eastAsia="zh-CN"/>
              </w:rPr>
              <w:t>5</w:t>
            </w:r>
            <w:r>
              <w:rPr>
                <w:rFonts w:hint="eastAsia" w:ascii="Times New Roman" w:hAnsi="Times New Roman" w:eastAsia="宋体" w:cs="宋体"/>
                <w:color w:val="FF0000"/>
              </w:rPr>
              <w:t xml:space="preserve"> 废水</w:t>
            </w:r>
            <w:r>
              <w:rPr>
                <w:rFonts w:ascii="Times New Roman" w:hAnsi="Times New Roman" w:eastAsia="宋体" w:cs="宋体"/>
                <w:color w:val="FF0000"/>
              </w:rPr>
              <w:t>排放标准 单位：mg/L(pH除外)</w:t>
            </w:r>
          </w:p>
          <w:tbl>
            <w:tblPr>
              <w:tblStyle w:val="27"/>
              <w:tblW w:w="4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587"/>
              <w:gridCol w:w="860"/>
              <w:gridCol w:w="821"/>
              <w:gridCol w:w="645"/>
              <w:gridCol w:w="83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769" w:type="pct"/>
                  <w:tcBorders>
                    <w:top w:val="single" w:color="auto" w:sz="12" w:space="0"/>
                    <w:left w:val="nil"/>
                    <w:tl2br w:val="single" w:color="auto" w:sz="4" w:space="0"/>
                  </w:tcBorders>
                  <w:noWrap w:val="0"/>
                  <w:vAlign w:val="top"/>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 xml:space="preserve">     污染因子</w:t>
                  </w:r>
                </w:p>
                <w:p>
                  <w:pPr>
                    <w:pStyle w:val="105"/>
                    <w:ind w:firstLine="632" w:firstLineChars="300"/>
                    <w:jc w:val="both"/>
                    <w:rPr>
                      <w:rFonts w:hint="default" w:ascii="Times New Roman" w:hAnsi="Times New Roman" w:cs="Times New Roman"/>
                      <w:b/>
                      <w:color w:val="FF0000"/>
                      <w:szCs w:val="21"/>
                    </w:rPr>
                  </w:pPr>
                  <w:r>
                    <w:rPr>
                      <w:rFonts w:hint="default" w:ascii="Times New Roman" w:hAnsi="Times New Roman" w:cs="Times New Roman"/>
                      <w:b/>
                      <w:color w:val="FF0000"/>
                      <w:szCs w:val="21"/>
                    </w:rPr>
                    <w:t>标准</w:t>
                  </w:r>
                </w:p>
              </w:tc>
              <w:tc>
                <w:tcPr>
                  <w:tcW w:w="392" w:type="pct"/>
                  <w:tcBorders>
                    <w:top w:val="single" w:color="auto" w:sz="12" w:space="0"/>
                  </w:tcBorders>
                  <w:noWrap w:val="0"/>
                  <w:vAlign w:val="center"/>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pH</w:t>
                  </w:r>
                </w:p>
              </w:tc>
              <w:tc>
                <w:tcPr>
                  <w:tcW w:w="574" w:type="pct"/>
                  <w:tcBorders>
                    <w:top w:val="single" w:color="auto" w:sz="12" w:space="0"/>
                  </w:tcBorders>
                  <w:noWrap w:val="0"/>
                  <w:vAlign w:val="center"/>
                </w:tcPr>
                <w:p>
                  <w:pPr>
                    <w:pStyle w:val="105"/>
                    <w:rPr>
                      <w:rFonts w:hint="default" w:ascii="Times New Roman" w:hAnsi="Times New Roman" w:eastAsia="宋体" w:cs="Times New Roman"/>
                      <w:b/>
                      <w:color w:val="FF0000"/>
                      <w:szCs w:val="21"/>
                      <w:lang w:val="en-US" w:eastAsia="zh-CN"/>
                    </w:rPr>
                  </w:pPr>
                  <w:r>
                    <w:rPr>
                      <w:rFonts w:hint="default" w:ascii="Times New Roman" w:hAnsi="Times New Roman" w:cs="Times New Roman"/>
                      <w:b/>
                      <w:color w:val="FF0000"/>
                      <w:szCs w:val="21"/>
                    </w:rPr>
                    <w:t>COD</w:t>
                  </w:r>
                  <w:r>
                    <w:rPr>
                      <w:rFonts w:hint="eastAsia" w:cs="Times New Roman"/>
                      <w:b/>
                      <w:color w:val="FF0000"/>
                      <w:szCs w:val="21"/>
                      <w:vertAlign w:val="subscript"/>
                      <w:lang w:val="en-US" w:eastAsia="zh-CN"/>
                    </w:rPr>
                    <w:t>Cr</w:t>
                  </w:r>
                </w:p>
              </w:tc>
              <w:tc>
                <w:tcPr>
                  <w:tcW w:w="548" w:type="pct"/>
                  <w:tcBorders>
                    <w:top w:val="single" w:color="auto" w:sz="12" w:space="0"/>
                  </w:tcBorders>
                  <w:noWrap w:val="0"/>
                  <w:vAlign w:val="center"/>
                </w:tcPr>
                <w:p>
                  <w:pPr>
                    <w:pStyle w:val="105"/>
                    <w:rPr>
                      <w:rFonts w:hint="eastAsia" w:ascii="Times New Roman" w:hAnsi="Times New Roman" w:eastAsia="宋体" w:cs="Times New Roman"/>
                      <w:b/>
                      <w:color w:val="FF0000"/>
                      <w:szCs w:val="21"/>
                      <w:lang w:val="en-US" w:eastAsia="zh-CN"/>
                    </w:rPr>
                  </w:pPr>
                  <w:r>
                    <w:rPr>
                      <w:rFonts w:hint="default" w:ascii="Times New Roman" w:hAnsi="Times New Roman" w:cs="Times New Roman"/>
                      <w:b/>
                      <w:color w:val="FF0000"/>
                      <w:szCs w:val="21"/>
                    </w:rPr>
                    <w:t>BOD</w:t>
                  </w:r>
                  <w:r>
                    <w:rPr>
                      <w:rFonts w:hint="eastAsia" w:cs="Times New Roman"/>
                      <w:b/>
                      <w:color w:val="FF0000"/>
                      <w:szCs w:val="21"/>
                      <w:vertAlign w:val="subscript"/>
                      <w:lang w:val="en-US" w:eastAsia="zh-CN"/>
                    </w:rPr>
                    <w:t>5</w:t>
                  </w:r>
                </w:p>
              </w:tc>
              <w:tc>
                <w:tcPr>
                  <w:tcW w:w="431" w:type="pct"/>
                  <w:tcBorders>
                    <w:top w:val="single" w:color="auto" w:sz="12" w:space="0"/>
                  </w:tcBorders>
                  <w:noWrap w:val="0"/>
                  <w:vAlign w:val="center"/>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SS</w:t>
                  </w:r>
                </w:p>
              </w:tc>
              <w:tc>
                <w:tcPr>
                  <w:tcW w:w="560" w:type="pct"/>
                  <w:tcBorders>
                    <w:top w:val="single" w:color="auto" w:sz="12" w:space="0"/>
                    <w:right w:val="nil"/>
                  </w:tcBorders>
                  <w:noWrap w:val="0"/>
                  <w:vAlign w:val="center"/>
                </w:tcPr>
                <w:p>
                  <w:pPr>
                    <w:pStyle w:val="105"/>
                    <w:rPr>
                      <w:rFonts w:hint="default" w:ascii="Times New Roman" w:hAnsi="Times New Roman" w:cs="Times New Roman"/>
                      <w:b/>
                      <w:color w:val="FF0000"/>
                      <w:szCs w:val="21"/>
                    </w:rPr>
                  </w:pPr>
                  <w:r>
                    <w:rPr>
                      <w:rFonts w:hint="default" w:ascii="Times New Roman" w:hAnsi="Times New Roman" w:cs="Times New Roman"/>
                      <w:b/>
                      <w:color w:val="FF0000"/>
                      <w:szCs w:val="21"/>
                    </w:rPr>
                    <w:t>NH</w:t>
                  </w:r>
                  <w:r>
                    <w:rPr>
                      <w:rFonts w:hint="default" w:ascii="Times New Roman" w:hAnsi="Times New Roman" w:cs="Times New Roman"/>
                      <w:b/>
                      <w:color w:val="FF0000"/>
                      <w:szCs w:val="21"/>
                      <w:vertAlign w:val="subscript"/>
                    </w:rPr>
                    <w:t>3</w:t>
                  </w:r>
                  <w:r>
                    <w:rPr>
                      <w:rFonts w:hint="default" w:ascii="Times New Roman" w:hAnsi="Times New Roman" w:cs="Times New Roman"/>
                      <w:b/>
                      <w:color w:val="FF0000"/>
                      <w:szCs w:val="21"/>
                    </w:rPr>
                    <w:t>-N</w:t>
                  </w:r>
                </w:p>
              </w:tc>
              <w:tc>
                <w:tcPr>
                  <w:tcW w:w="722" w:type="pct"/>
                  <w:tcBorders>
                    <w:top w:val="single" w:color="auto" w:sz="12" w:space="0"/>
                    <w:right w:val="nil"/>
                  </w:tcBorders>
                  <w:noWrap w:val="0"/>
                  <w:vAlign w:val="center"/>
                </w:tcPr>
                <w:p>
                  <w:pPr>
                    <w:pStyle w:val="105"/>
                    <w:rPr>
                      <w:rFonts w:hint="default" w:ascii="Times New Roman" w:hAnsi="Times New Roman" w:eastAsia="宋体" w:cs="Times New Roman"/>
                      <w:b/>
                      <w:color w:val="FF0000"/>
                      <w:szCs w:val="21"/>
                      <w:lang w:val="en-US" w:eastAsia="zh-CN"/>
                    </w:rPr>
                  </w:pPr>
                  <w:r>
                    <w:rPr>
                      <w:rFonts w:hint="eastAsia" w:cs="Times New Roman"/>
                      <w:b/>
                      <w:color w:val="FF0000"/>
                      <w:szCs w:val="21"/>
                      <w:lang w:val="en-US" w:eastAsia="zh-CN"/>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69" w:type="pct"/>
                  <w:tcBorders>
                    <w:left w:val="nil"/>
                  </w:tcBorders>
                  <w:noWrap w:val="0"/>
                  <w:vAlign w:val="top"/>
                </w:tcPr>
                <w:p>
                  <w:pPr>
                    <w:pStyle w:val="105"/>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szCs w:val="21"/>
                      <w:lang w:eastAsia="zh-CN"/>
                    </w:rPr>
                    <w:t>《污水综合排放标准》（GB8978- 1996）</w:t>
                  </w:r>
                </w:p>
                <w:p>
                  <w:pPr>
                    <w:pStyle w:val="105"/>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szCs w:val="21"/>
                      <w:lang w:eastAsia="zh-CN"/>
                    </w:rPr>
                    <w:t>表4中一级标准</w:t>
                  </w:r>
                </w:p>
              </w:tc>
              <w:tc>
                <w:tcPr>
                  <w:tcW w:w="392" w:type="pct"/>
                  <w:noWrap w:val="0"/>
                  <w:vAlign w:val="center"/>
                </w:tcPr>
                <w:p>
                  <w:pPr>
                    <w:pStyle w:val="105"/>
                    <w:rPr>
                      <w:rFonts w:hint="default" w:ascii="Times New Roman" w:hAnsi="Times New Roman" w:cs="Times New Roman"/>
                      <w:color w:val="FF0000"/>
                      <w:szCs w:val="21"/>
                    </w:rPr>
                  </w:pPr>
                  <w:r>
                    <w:rPr>
                      <w:rFonts w:hint="default" w:ascii="Times New Roman" w:hAnsi="Times New Roman" w:cs="Times New Roman"/>
                      <w:color w:val="FF0000"/>
                      <w:szCs w:val="21"/>
                    </w:rPr>
                    <w:t>6-9</w:t>
                  </w:r>
                </w:p>
              </w:tc>
              <w:tc>
                <w:tcPr>
                  <w:tcW w:w="574" w:type="pct"/>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100</w:t>
                  </w:r>
                </w:p>
              </w:tc>
              <w:tc>
                <w:tcPr>
                  <w:tcW w:w="548" w:type="pct"/>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20</w:t>
                  </w:r>
                </w:p>
              </w:tc>
              <w:tc>
                <w:tcPr>
                  <w:tcW w:w="431" w:type="pct"/>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70</w:t>
                  </w:r>
                </w:p>
              </w:tc>
              <w:tc>
                <w:tcPr>
                  <w:tcW w:w="560" w:type="pct"/>
                  <w:tcBorders>
                    <w:right w:val="nil"/>
                  </w:tcBorders>
                  <w:noWrap w:val="0"/>
                  <w:vAlign w:val="center"/>
                </w:tcPr>
                <w:p>
                  <w:pPr>
                    <w:pStyle w:val="105"/>
                    <w:rPr>
                      <w:rFonts w:hint="default" w:ascii="Times New Roman" w:hAnsi="Times New Roman" w:eastAsia="宋体" w:cs="Times New Roman"/>
                      <w:color w:val="FF0000"/>
                      <w:szCs w:val="21"/>
                      <w:lang w:val="en-US" w:eastAsia="zh-CN"/>
                    </w:rPr>
                  </w:pPr>
                  <w:r>
                    <w:rPr>
                      <w:rFonts w:hint="eastAsia" w:cs="Times New Roman"/>
                      <w:color w:val="FF0000"/>
                      <w:szCs w:val="21"/>
                      <w:lang w:val="en-US" w:eastAsia="zh-CN"/>
                    </w:rPr>
                    <w:t>15</w:t>
                  </w:r>
                </w:p>
              </w:tc>
              <w:tc>
                <w:tcPr>
                  <w:tcW w:w="722" w:type="pct"/>
                  <w:tcBorders>
                    <w:right w:val="nil"/>
                  </w:tcBorders>
                  <w:noWrap w:val="0"/>
                  <w:vAlign w:val="center"/>
                </w:tcPr>
                <w:p>
                  <w:pPr>
                    <w:pStyle w:val="105"/>
                    <w:rPr>
                      <w:rFonts w:hint="default" w:ascii="Times New Roman" w:hAnsi="Times New Roman" w:eastAsia="宋体" w:cs="Times New Roman"/>
                      <w:color w:val="FF0000"/>
                      <w:szCs w:val="21"/>
                      <w:lang w:val="en-US" w:eastAsia="zh-CN"/>
                    </w:rPr>
                  </w:pPr>
                  <w:r>
                    <w:rPr>
                      <w:rFonts w:hint="eastAsia" w:eastAsia="宋体" w:cs="Times New Roman"/>
                      <w:color w:val="FF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69" w:type="pct"/>
                  <w:tcBorders>
                    <w:left w:val="nil"/>
                    <w:bottom w:val="single" w:color="auto" w:sz="12" w:space="0"/>
                  </w:tcBorders>
                  <w:noWrap w:val="0"/>
                  <w:vAlign w:val="top"/>
                </w:tcPr>
                <w:p>
                  <w:pPr>
                    <w:pStyle w:val="105"/>
                    <w:rPr>
                      <w:rFonts w:hint="default" w:ascii="Times New Roman" w:hAnsi="Times New Roman" w:cs="Times New Roman"/>
                      <w:color w:val="FF0000"/>
                      <w:szCs w:val="21"/>
                    </w:rPr>
                  </w:pPr>
                  <w:r>
                    <w:rPr>
                      <w:rFonts w:ascii="Times New Roman" w:hAnsi="Times New Roman" w:eastAsia="宋体" w:cs="宋体"/>
                      <w:color w:val="FF0000"/>
                    </w:rPr>
                    <w:t>GB18918-2002一级B标准</w:t>
                  </w:r>
                </w:p>
              </w:tc>
              <w:tc>
                <w:tcPr>
                  <w:tcW w:w="392"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hint="default" w:ascii="Times New Roman" w:hAnsi="Times New Roman" w:cs="Times New Roman"/>
                      <w:color w:val="FF0000"/>
                      <w:szCs w:val="21"/>
                    </w:rPr>
                    <w:t>6-9</w:t>
                  </w:r>
                </w:p>
              </w:tc>
              <w:tc>
                <w:tcPr>
                  <w:tcW w:w="574"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ascii="Times New Roman" w:hAnsi="Times New Roman" w:eastAsia="宋体" w:cs="Times New Roman"/>
                      <w:color w:val="FF0000"/>
                      <w:kern w:val="0"/>
                      <w:szCs w:val="21"/>
                      <w:lang w:bidi="ar"/>
                    </w:rPr>
                    <w:t>60</w:t>
                  </w:r>
                </w:p>
              </w:tc>
              <w:tc>
                <w:tcPr>
                  <w:tcW w:w="548"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ascii="Times New Roman" w:hAnsi="Times New Roman" w:eastAsia="宋体" w:cs="Times New Roman"/>
                      <w:color w:val="FF0000"/>
                      <w:kern w:val="0"/>
                      <w:szCs w:val="21"/>
                      <w:lang w:bidi="ar"/>
                    </w:rPr>
                    <w:t>20</w:t>
                  </w:r>
                </w:p>
              </w:tc>
              <w:tc>
                <w:tcPr>
                  <w:tcW w:w="431" w:type="pct"/>
                  <w:tcBorders>
                    <w:bottom w:val="single" w:color="auto" w:sz="12" w:space="0"/>
                  </w:tcBorders>
                  <w:noWrap w:val="0"/>
                  <w:vAlign w:val="center"/>
                </w:tcPr>
                <w:p>
                  <w:pPr>
                    <w:pStyle w:val="105"/>
                    <w:rPr>
                      <w:rFonts w:hint="default" w:ascii="Times New Roman" w:hAnsi="Times New Roman" w:cs="Times New Roman"/>
                      <w:color w:val="FF0000"/>
                      <w:szCs w:val="21"/>
                    </w:rPr>
                  </w:pPr>
                  <w:r>
                    <w:rPr>
                      <w:rFonts w:ascii="Times New Roman" w:hAnsi="Times New Roman" w:eastAsia="宋体" w:cs="Times New Roman"/>
                      <w:color w:val="FF0000"/>
                      <w:kern w:val="0"/>
                      <w:szCs w:val="21"/>
                      <w:lang w:bidi="ar"/>
                    </w:rPr>
                    <w:t>20</w:t>
                  </w:r>
                </w:p>
              </w:tc>
              <w:tc>
                <w:tcPr>
                  <w:tcW w:w="560" w:type="pct"/>
                  <w:tcBorders>
                    <w:bottom w:val="single" w:color="auto" w:sz="12" w:space="0"/>
                    <w:right w:val="nil"/>
                  </w:tcBorders>
                  <w:noWrap w:val="0"/>
                  <w:vAlign w:val="center"/>
                </w:tcPr>
                <w:p>
                  <w:pPr>
                    <w:pStyle w:val="105"/>
                    <w:rPr>
                      <w:rFonts w:hint="default" w:ascii="Times New Roman" w:hAnsi="Times New Roman" w:cs="Times New Roman"/>
                      <w:color w:val="FF0000"/>
                      <w:szCs w:val="21"/>
                    </w:rPr>
                  </w:pPr>
                  <w:r>
                    <w:rPr>
                      <w:rFonts w:hint="eastAsia" w:ascii="Times New Roman" w:hAnsi="Times New Roman" w:eastAsia="宋体" w:cs="Times New Roman"/>
                      <w:color w:val="FF0000"/>
                      <w:szCs w:val="21"/>
                      <w:lang w:val="en-US" w:eastAsia="zh-CN"/>
                    </w:rPr>
                    <w:t>8</w:t>
                  </w:r>
                </w:p>
              </w:tc>
              <w:tc>
                <w:tcPr>
                  <w:tcW w:w="722" w:type="pct"/>
                  <w:tcBorders>
                    <w:bottom w:val="single" w:color="auto" w:sz="12" w:space="0"/>
                    <w:right w:val="nil"/>
                  </w:tcBorders>
                  <w:noWrap w:val="0"/>
                  <w:vAlign w:val="center"/>
                </w:tcPr>
                <w:p>
                  <w:pPr>
                    <w:pStyle w:val="105"/>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kern w:val="0"/>
                      <w:szCs w:val="21"/>
                      <w:lang w:val="en-US" w:eastAsia="zh-CN" w:bidi="ar"/>
                    </w:rPr>
                    <w:t>3</w:t>
                  </w:r>
                </w:p>
              </w:tc>
            </w:tr>
          </w:tbl>
          <w:p>
            <w:pPr>
              <w:pStyle w:val="67"/>
              <w:rPr>
                <w:rFonts w:ascii="Times New Roman" w:hAnsi="Times New Roman" w:eastAsia="宋体" w:cs="宋体"/>
                <w:color w:val="auto"/>
              </w:rPr>
            </w:pPr>
          </w:p>
          <w:p>
            <w:pPr>
              <w:pStyle w:val="70"/>
              <w:bidi w:val="0"/>
              <w:rPr>
                <w:rFonts w:ascii="Times New Roman" w:hAnsi="Times New Roman" w:eastAsia="宋体" w:cs="宋体"/>
                <w:b/>
                <w:bCs/>
                <w:color w:val="auto"/>
              </w:rPr>
            </w:pPr>
            <w:r>
              <w:rPr>
                <w:rFonts w:hint="eastAsia" w:ascii="Times New Roman" w:hAnsi="Times New Roman" w:eastAsia="宋体" w:cs="宋体"/>
                <w:b/>
                <w:bCs/>
                <w:color w:val="auto"/>
              </w:rPr>
              <w:t>3、噪声</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宋体"/>
                <w:color w:val="auto"/>
                <w:kern w:val="0"/>
                <w:sz w:val="24"/>
                <w:szCs w:val="20"/>
                <w:lang w:val="en-US" w:eastAsia="zh-CN" w:bidi="ar-SA"/>
              </w:rPr>
            </w:pPr>
            <w:r>
              <w:rPr>
                <w:rFonts w:hint="eastAsia" w:cs="宋体"/>
                <w:color w:val="auto"/>
                <w:kern w:val="0"/>
                <w:sz w:val="24"/>
                <w:szCs w:val="20"/>
                <w:lang w:val="en-US" w:eastAsia="zh-CN" w:bidi="ar-SA"/>
              </w:rPr>
              <w:t>项目</w:t>
            </w:r>
            <w:r>
              <w:rPr>
                <w:rFonts w:hint="default" w:ascii="Times New Roman" w:hAnsi="Times New Roman" w:eastAsia="宋体" w:cs="宋体"/>
                <w:color w:val="auto"/>
                <w:kern w:val="0"/>
                <w:sz w:val="24"/>
                <w:szCs w:val="20"/>
                <w:lang w:val="en-US" w:eastAsia="zh-CN" w:bidi="ar-SA"/>
              </w:rPr>
              <w:t>用地属于工业用地</w:t>
            </w:r>
            <w:r>
              <w:rPr>
                <w:rFonts w:hint="eastAsia" w:cs="宋体"/>
                <w:color w:val="auto"/>
                <w:kern w:val="0"/>
                <w:sz w:val="24"/>
                <w:szCs w:val="20"/>
                <w:lang w:val="en-US" w:eastAsia="zh-CN" w:bidi="ar-SA"/>
              </w:rPr>
              <w:t>，</w:t>
            </w:r>
            <w:r>
              <w:rPr>
                <w:rFonts w:hint="default" w:ascii="Times New Roman" w:hAnsi="Times New Roman" w:eastAsia="宋体" w:cs="宋体"/>
                <w:color w:val="auto"/>
                <w:kern w:val="0"/>
                <w:sz w:val="24"/>
                <w:szCs w:val="20"/>
                <w:lang w:val="en-US" w:eastAsia="zh-CN" w:bidi="ar-SA"/>
              </w:rPr>
              <w:t>营运期项目区域噪声执行《工业企业厂界环境噪声排放标准》（GB12348-2008）中3类标准。</w:t>
            </w:r>
          </w:p>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表3-</w:t>
            </w:r>
            <w:r>
              <w:rPr>
                <w:rFonts w:hint="eastAsia"/>
                <w:b/>
                <w:bCs/>
                <w:color w:val="000000" w:themeColor="text1"/>
                <w:sz w:val="21"/>
                <w:szCs w:val="21"/>
                <w:lang w:val="en-US" w:eastAsia="zh-CN"/>
                <w14:textFill>
                  <w14:solidFill>
                    <w14:schemeClr w14:val="tx1"/>
                  </w14:solidFill>
                </w14:textFill>
              </w:rPr>
              <w:t>6</w:t>
            </w:r>
            <w:r>
              <w:rPr>
                <w:b/>
                <w:bCs/>
                <w:color w:val="000000" w:themeColor="text1"/>
                <w:sz w:val="21"/>
                <w:szCs w:val="21"/>
                <w14:textFill>
                  <w14:solidFill>
                    <w14:schemeClr w14:val="tx1"/>
                  </w14:solidFill>
                </w14:textFill>
              </w:rPr>
              <w:t xml:space="preserve">   环境噪声排放标准（摘录）   单位：dB(A)</w:t>
            </w:r>
          </w:p>
          <w:tbl>
            <w:tblPr>
              <w:tblStyle w:val="27"/>
              <w:tblW w:w="4998" w:type="pct"/>
              <w:jc w:val="center"/>
              <w:tblBorders>
                <w:top w:val="single" w:color="auto" w:sz="4"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5501"/>
              <w:gridCol w:w="1079"/>
              <w:gridCol w:w="1028"/>
            </w:tblGrid>
            <w:tr>
              <w:tblPrEx>
                <w:tblBorders>
                  <w:top w:val="single" w:color="auto" w:sz="4"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jc w:val="center"/>
              </w:trPr>
              <w:tc>
                <w:tcPr>
                  <w:tcW w:w="3614"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标准</w:t>
                  </w:r>
                </w:p>
              </w:tc>
              <w:tc>
                <w:tcPr>
                  <w:tcW w:w="709"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昼间</w:t>
                  </w:r>
                </w:p>
              </w:tc>
              <w:tc>
                <w:tcPr>
                  <w:tcW w:w="675"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夜间</w:t>
                  </w:r>
                </w:p>
              </w:tc>
            </w:tr>
            <w:tr>
              <w:tblPrEx>
                <w:tblBorders>
                  <w:top w:val="single" w:color="auto" w:sz="4" w:space="0"/>
                  <w:left w:val="none" w:color="auto" w:sz="0" w:space="0"/>
                  <w:bottom w:val="single" w:color="auto" w:sz="6"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85" w:hRule="atLeast"/>
                <w:jc w:val="center"/>
              </w:trPr>
              <w:tc>
                <w:tcPr>
                  <w:tcW w:w="361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《工业企业厂界环境噪声排放标准》（GB12348-2008）</w:t>
                  </w:r>
                </w:p>
              </w:tc>
              <w:tc>
                <w:tcPr>
                  <w:tcW w:w="709"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65</w:t>
                  </w:r>
                </w:p>
              </w:tc>
              <w:tc>
                <w:tcPr>
                  <w:tcW w:w="675"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w:t>
                  </w:r>
                </w:p>
              </w:tc>
            </w:tr>
          </w:tbl>
          <w:p>
            <w:pPr>
              <w:pStyle w:val="70"/>
              <w:keepNext w:val="0"/>
              <w:keepLines w:val="0"/>
              <w:pageBreakBefore w:val="0"/>
              <w:widowControl w:val="0"/>
              <w:kinsoku/>
              <w:wordWrap/>
              <w:overflowPunct/>
              <w:topLinePunct w:val="0"/>
              <w:autoSpaceDE/>
              <w:autoSpaceDN/>
              <w:bidi w:val="0"/>
              <w:adjustRightInd/>
              <w:snapToGrid/>
              <w:spacing w:before="157" w:beforeLines="50"/>
              <w:textAlignment w:val="auto"/>
              <w:rPr>
                <w:rFonts w:ascii="Times New Roman" w:hAnsi="Times New Roman" w:eastAsia="宋体" w:cs="宋体"/>
                <w:b/>
                <w:bCs/>
                <w:color w:val="auto"/>
              </w:rPr>
            </w:pPr>
            <w:r>
              <w:rPr>
                <w:rFonts w:hint="eastAsia" w:ascii="Times New Roman" w:hAnsi="Times New Roman" w:eastAsia="宋体" w:cs="宋体"/>
                <w:b/>
                <w:bCs/>
                <w:color w:val="auto"/>
              </w:rPr>
              <w:t>4、固体废物</w:t>
            </w:r>
          </w:p>
          <w:p>
            <w:pPr>
              <w:pStyle w:val="70"/>
              <w:bidi w:val="0"/>
              <w:rPr>
                <w:rFonts w:hint="default" w:ascii="Times New Roman" w:hAnsi="Times New Roman" w:cs="Times New Roman"/>
                <w:kern w:val="0"/>
                <w:szCs w:val="21"/>
              </w:rPr>
            </w:pPr>
            <w:r>
              <w:rPr>
                <w:rFonts w:hint="default" w:ascii="Times New Roman" w:hAnsi="Times New Roman" w:eastAsia="宋体" w:cs="宋体"/>
                <w:color w:val="auto"/>
                <w:sz w:val="24"/>
              </w:rPr>
              <w:t>一般工业固体废物管理应遵照《中华人民共和国固体废物污染环境防治法》的要求执行，暂存于一般工业固体废物</w:t>
            </w:r>
            <w:r>
              <w:rPr>
                <w:rFonts w:hint="eastAsia" w:ascii="Times New Roman" w:hAnsi="Times New Roman" w:eastAsia="宋体" w:cs="宋体"/>
                <w:color w:val="auto"/>
                <w:sz w:val="24"/>
                <w:lang w:val="en-US" w:eastAsia="zh-CN"/>
              </w:rPr>
              <w:t>暂存间</w:t>
            </w:r>
            <w:r>
              <w:rPr>
                <w:rFonts w:hint="default" w:ascii="Times New Roman" w:hAnsi="Times New Roman" w:eastAsia="宋体" w:cs="宋体"/>
                <w:color w:val="auto"/>
                <w:sz w:val="24"/>
              </w:rPr>
              <w:t>，</w:t>
            </w:r>
            <w:r>
              <w:rPr>
                <w:rFonts w:hint="eastAsia" w:ascii="Times New Roman" w:hAnsi="Times New Roman" w:eastAsia="宋体" w:cs="宋体"/>
                <w:color w:val="auto"/>
                <w:sz w:val="24"/>
                <w:lang w:val="en-US" w:eastAsia="zh-CN"/>
              </w:rPr>
              <w:t>暂存间</w:t>
            </w:r>
            <w:r>
              <w:rPr>
                <w:rFonts w:hint="default" w:ascii="Times New Roman" w:hAnsi="Times New Roman" w:eastAsia="宋体" w:cs="宋体"/>
                <w:color w:val="auto"/>
                <w:sz w:val="24"/>
              </w:rPr>
              <w:t>应满足</w:t>
            </w:r>
            <w:r>
              <w:rPr>
                <w:rFonts w:hint="eastAsia" w:cs="宋体"/>
                <w:color w:val="auto"/>
                <w:sz w:val="24"/>
                <w:lang w:val="en-US" w:eastAsia="zh-CN"/>
              </w:rPr>
              <w:t>防扬散、防流失、防渗漏</w:t>
            </w:r>
            <w:r>
              <w:rPr>
                <w:rFonts w:hint="default" w:ascii="Times New Roman" w:hAnsi="Times New Roman" w:eastAsia="宋体" w:cs="宋体"/>
                <w:color w:val="auto"/>
                <w:sz w:val="24"/>
              </w:rPr>
              <w:t>等要求</w:t>
            </w:r>
            <w:r>
              <w:rPr>
                <w:rFonts w:hint="eastAsia" w:ascii="Times New Roman" w:hAnsi="Times New Roman" w:eastAsia="宋体" w:cs="宋体"/>
                <w:color w:val="auto"/>
                <w:lang w:eastAsia="zh-CN"/>
              </w:rPr>
              <w:t>；</w:t>
            </w:r>
            <w:r>
              <w:rPr>
                <w:rFonts w:hint="eastAsia" w:ascii="Times New Roman" w:hAnsi="Times New Roman" w:eastAsia="宋体" w:cs="宋体"/>
                <w:color w:val="auto"/>
              </w:rPr>
              <w:t>危险废物执行《危险废物贮存污染控制标准》（GB18597-2001）及2013年修改单要求。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4" w:hRule="atLeast"/>
          <w:jc w:val="center"/>
        </w:trPr>
        <w:tc>
          <w:tcPr>
            <w:tcW w:w="80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总量</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控制</w:t>
            </w:r>
          </w:p>
          <w:p>
            <w:pPr>
              <w:adjustRightInd w:val="0"/>
              <w:snapToGrid w:val="0"/>
              <w:jc w:val="center"/>
              <w:rPr>
                <w:rFonts w:ascii="宋体" w:hAnsi="宋体" w:cs="宋体"/>
                <w:kern w:val="0"/>
                <w:szCs w:val="21"/>
              </w:rPr>
            </w:pPr>
            <w:r>
              <w:rPr>
                <w:rFonts w:hint="eastAsia" w:ascii="宋体" w:hAnsi="宋体" w:cs="宋体"/>
                <w:kern w:val="0"/>
                <w:sz w:val="24"/>
                <w:szCs w:val="24"/>
              </w:rPr>
              <w:t>指标</w:t>
            </w:r>
          </w:p>
        </w:tc>
        <w:tc>
          <w:tcPr>
            <w:tcW w:w="7827" w:type="dxa"/>
            <w:noWrap w:val="0"/>
            <w:vAlign w:val="center"/>
          </w:tcPr>
          <w:p>
            <w:pPr>
              <w:pStyle w:val="70"/>
              <w:bidi w:val="0"/>
              <w:rPr>
                <w:rFonts w:hint="default" w:ascii="Times New Roman" w:hAnsi="Times New Roman" w:eastAsia="宋体" w:cs="宋体"/>
                <w:color w:val="FF0000"/>
                <w:sz w:val="24"/>
              </w:rPr>
            </w:pPr>
            <w:r>
              <w:rPr>
                <w:rFonts w:hint="default" w:ascii="Times New Roman" w:hAnsi="Times New Roman" w:eastAsia="宋体" w:cs="宋体"/>
                <w:color w:val="FF0000"/>
                <w:sz w:val="24"/>
              </w:rPr>
              <w:t>1、总量控制内容</w:t>
            </w:r>
          </w:p>
          <w:p>
            <w:pPr>
              <w:pStyle w:val="70"/>
              <w:bidi w:val="0"/>
              <w:rPr>
                <w:rFonts w:hint="default" w:ascii="Times New Roman" w:hAnsi="Times New Roman" w:eastAsia="宋体" w:cs="宋体"/>
                <w:color w:val="FF0000"/>
                <w:sz w:val="24"/>
              </w:rPr>
            </w:pPr>
            <w:r>
              <w:rPr>
                <w:rFonts w:hint="default" w:ascii="Times New Roman" w:hAnsi="Times New Roman" w:eastAsia="宋体" w:cs="宋体"/>
                <w:color w:val="FF0000"/>
                <w:sz w:val="24"/>
              </w:rPr>
              <w:t>根据国家《建设项目主要污染物排放总量指标审核及管理暂行办法》（环发[2014]197号）并综合考虑本项目的工艺和排污特点，结合所在区域环境现状及当地环境管理部门的要求，确定本项目污染物排放总量控制因子为：COD</w:t>
            </w:r>
            <w:r>
              <w:rPr>
                <w:rFonts w:hint="default" w:ascii="Times New Roman" w:hAnsi="Times New Roman" w:eastAsia="宋体" w:cs="宋体"/>
                <w:color w:val="FF0000"/>
                <w:sz w:val="24"/>
                <w:vertAlign w:val="subscript"/>
              </w:rPr>
              <w:t>Cr</w:t>
            </w:r>
            <w:r>
              <w:rPr>
                <w:rFonts w:hint="default" w:ascii="Times New Roman" w:hAnsi="Times New Roman" w:eastAsia="宋体" w:cs="宋体"/>
                <w:color w:val="FF0000"/>
                <w:sz w:val="24"/>
              </w:rPr>
              <w:t>、NH</w:t>
            </w:r>
            <w:r>
              <w:rPr>
                <w:rFonts w:hint="default" w:ascii="Times New Roman" w:hAnsi="Times New Roman" w:eastAsia="宋体" w:cs="宋体"/>
                <w:color w:val="FF0000"/>
                <w:sz w:val="24"/>
                <w:vertAlign w:val="subscript"/>
              </w:rPr>
              <w:t>3</w:t>
            </w:r>
            <w:r>
              <w:rPr>
                <w:rFonts w:hint="default" w:ascii="Times New Roman" w:hAnsi="Times New Roman" w:eastAsia="宋体" w:cs="宋体"/>
                <w:color w:val="FF0000"/>
                <w:sz w:val="24"/>
              </w:rPr>
              <w:t>-N</w:t>
            </w:r>
            <w:r>
              <w:rPr>
                <w:rFonts w:hint="eastAsia" w:ascii="Times New Roman" w:hAnsi="Times New Roman" w:eastAsia="宋体" w:cs="宋体"/>
                <w:color w:val="FF0000"/>
                <w:sz w:val="24"/>
              </w:rPr>
              <w:t>、NO</w:t>
            </w:r>
            <w:r>
              <w:rPr>
                <w:rFonts w:hint="eastAsia" w:ascii="Times New Roman" w:hAnsi="Times New Roman" w:eastAsia="宋体" w:cs="宋体"/>
                <w:color w:val="FF0000"/>
                <w:sz w:val="24"/>
                <w:vertAlign w:val="subscript"/>
                <w:lang w:val="en-US" w:eastAsia="zh-CN"/>
              </w:rPr>
              <w:t>X</w:t>
            </w:r>
            <w:r>
              <w:rPr>
                <w:rFonts w:hint="eastAsia" w:ascii="Times New Roman" w:hAnsi="Times New Roman" w:eastAsia="宋体" w:cs="宋体"/>
                <w:color w:val="FF0000"/>
                <w:sz w:val="24"/>
              </w:rPr>
              <w:t>、VOCs</w:t>
            </w:r>
            <w:r>
              <w:rPr>
                <w:rFonts w:hint="default" w:ascii="Times New Roman" w:hAnsi="Times New Roman" w:eastAsia="宋体" w:cs="宋体"/>
                <w:color w:val="FF0000"/>
                <w:sz w:val="24"/>
              </w:rPr>
              <w:t>。</w:t>
            </w:r>
          </w:p>
          <w:p>
            <w:pPr>
              <w:pStyle w:val="70"/>
              <w:numPr>
                <w:ilvl w:val="0"/>
                <w:numId w:val="5"/>
              </w:numPr>
              <w:bidi w:val="0"/>
              <w:ind w:left="-60" w:leftChars="0" w:firstLine="480" w:firstLineChars="200"/>
              <w:rPr>
                <w:rFonts w:hint="default" w:ascii="Times New Roman" w:hAnsi="Times New Roman" w:eastAsia="宋体" w:cs="宋体"/>
                <w:color w:val="FF0000"/>
                <w:sz w:val="24"/>
              </w:rPr>
            </w:pPr>
            <w:r>
              <w:rPr>
                <w:rFonts w:hint="default" w:ascii="Times New Roman" w:hAnsi="Times New Roman" w:eastAsia="宋体" w:cs="宋体"/>
                <w:color w:val="FF0000"/>
                <w:sz w:val="24"/>
              </w:rPr>
              <w:t>项目总量控制指标情况</w:t>
            </w:r>
          </w:p>
          <w:p>
            <w:pPr>
              <w:pStyle w:val="184"/>
              <w:keepNext w:val="0"/>
              <w:keepLines w:val="0"/>
              <w:pageBreakBefore w:val="0"/>
              <w:widowControl w:val="0"/>
              <w:kinsoku/>
              <w:wordWrap/>
              <w:overflowPunct/>
              <w:topLinePunct w:val="0"/>
              <w:bidi w:val="0"/>
              <w:snapToGrid/>
              <w:spacing w:line="360" w:lineRule="auto"/>
              <w:ind w:firstLine="480" w:firstLineChars="200"/>
              <w:jc w:val="both"/>
              <w:textAlignment w:val="baseline"/>
              <w:outlineLvl w:val="9"/>
              <w:rPr>
                <w:rFonts w:hint="eastAsia" w:ascii="Times New Roman" w:hAnsi="Times New Roman" w:eastAsia="宋体" w:cs="Times New Roman"/>
                <w:b w:val="0"/>
                <w:bCs w:val="0"/>
                <w:color w:val="FF0000"/>
                <w:sz w:val="24"/>
                <w:szCs w:val="24"/>
                <w:lang w:val="en-US" w:eastAsia="zh-CN"/>
              </w:rPr>
            </w:pPr>
            <w:r>
              <w:rPr>
                <w:rFonts w:hint="eastAsia" w:cs="Times New Roman"/>
                <w:b w:val="0"/>
                <w:bCs w:val="0"/>
                <w:color w:val="FF0000"/>
                <w:sz w:val="24"/>
                <w:szCs w:val="24"/>
                <w:lang w:val="en-US" w:eastAsia="zh-CN"/>
              </w:rPr>
              <w:t>（1）</w:t>
            </w:r>
            <w:r>
              <w:rPr>
                <w:rFonts w:hint="eastAsia" w:ascii="Times New Roman" w:hAnsi="Times New Roman" w:eastAsia="宋体" w:cs="Times New Roman"/>
                <w:b w:val="0"/>
                <w:bCs w:val="0"/>
                <w:color w:val="FF0000"/>
                <w:sz w:val="24"/>
                <w:szCs w:val="24"/>
                <w:lang w:val="en-US" w:eastAsia="zh-CN"/>
              </w:rPr>
              <w:t>废水总量控制指标</w:t>
            </w:r>
          </w:p>
          <w:p>
            <w:pPr>
              <w:pStyle w:val="18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baseline"/>
              <w:outlineLvl w:val="9"/>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项目生活污水和生产废水产生量为1734.6t/a，尾水排放执行《城镇污水处理厂污染物排放标准》（GB18918-2002）表1中一级B标准，即按COD60mg/L，NH</w:t>
            </w:r>
            <w:r>
              <w:rPr>
                <w:rFonts w:hint="eastAsia" w:ascii="Times New Roman" w:hAnsi="Times New Roman" w:eastAsia="宋体" w:cs="Times New Roman"/>
                <w:color w:val="FF0000"/>
                <w:sz w:val="24"/>
                <w:szCs w:val="24"/>
                <w:vertAlign w:val="subscript"/>
                <w:lang w:val="en-US" w:eastAsia="zh-CN"/>
              </w:rPr>
              <w:t>3</w:t>
            </w:r>
            <w:r>
              <w:rPr>
                <w:rFonts w:hint="eastAsia" w:ascii="Times New Roman" w:hAnsi="Times New Roman" w:eastAsia="宋体" w:cs="Times New Roman"/>
                <w:color w:val="FF0000"/>
                <w:sz w:val="24"/>
                <w:szCs w:val="24"/>
                <w:lang w:val="en-US" w:eastAsia="zh-CN"/>
              </w:rPr>
              <w:t>-N8mg/L计算总量控制指标。</w:t>
            </w:r>
          </w:p>
          <w:p>
            <w:pPr>
              <w:pStyle w:val="18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baseline"/>
              <w:outlineLvl w:val="9"/>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COD总量控制指标：1734.6×60×10</w:t>
            </w:r>
            <w:r>
              <w:rPr>
                <w:rFonts w:hint="eastAsia" w:ascii="Times New Roman" w:hAnsi="Times New Roman" w:eastAsia="宋体" w:cs="Times New Roman"/>
                <w:color w:val="FF0000"/>
                <w:sz w:val="24"/>
                <w:szCs w:val="24"/>
                <w:vertAlign w:val="superscript"/>
                <w:lang w:val="en-US" w:eastAsia="zh-CN"/>
              </w:rPr>
              <w:t>-6</w:t>
            </w:r>
            <w:r>
              <w:rPr>
                <w:rFonts w:hint="eastAsia" w:ascii="Times New Roman" w:hAnsi="Times New Roman" w:eastAsia="宋体" w:cs="Times New Roman"/>
                <w:color w:val="FF0000"/>
                <w:sz w:val="24"/>
                <w:szCs w:val="24"/>
                <w:lang w:val="en-US" w:eastAsia="zh-CN"/>
              </w:rPr>
              <w:t>=0.10t/a；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NH</w:t>
            </w:r>
            <w:r>
              <w:rPr>
                <w:rFonts w:hint="eastAsia" w:ascii="Times New Roman" w:hAnsi="Times New Roman" w:eastAsia="宋体" w:cs="Times New Roman"/>
                <w:color w:val="FF0000"/>
                <w:sz w:val="24"/>
                <w:szCs w:val="24"/>
                <w:vertAlign w:val="subscript"/>
                <w:lang w:val="en-US" w:eastAsia="zh-CN"/>
              </w:rPr>
              <w:t>3</w:t>
            </w:r>
            <w:r>
              <w:rPr>
                <w:rFonts w:hint="eastAsia" w:ascii="Times New Roman" w:hAnsi="Times New Roman" w:eastAsia="宋体" w:cs="Times New Roman"/>
                <w:color w:val="FF0000"/>
                <w:sz w:val="24"/>
                <w:szCs w:val="24"/>
                <w:lang w:val="en-US" w:eastAsia="zh-CN"/>
              </w:rPr>
              <w:t>-N总量控制指标：1734.6×8×10</w:t>
            </w:r>
            <w:r>
              <w:rPr>
                <w:rFonts w:hint="eastAsia" w:ascii="Times New Roman" w:hAnsi="Times New Roman" w:eastAsia="宋体" w:cs="Times New Roman"/>
                <w:color w:val="FF0000"/>
                <w:sz w:val="24"/>
                <w:szCs w:val="24"/>
                <w:vertAlign w:val="superscript"/>
                <w:lang w:val="en-US" w:eastAsia="zh-CN"/>
              </w:rPr>
              <w:t>-6</w:t>
            </w:r>
            <w:r>
              <w:rPr>
                <w:rFonts w:hint="eastAsia" w:ascii="Times New Roman" w:hAnsi="Times New Roman" w:eastAsia="宋体" w:cs="Times New Roman"/>
                <w:color w:val="FF0000"/>
                <w:sz w:val="24"/>
                <w:szCs w:val="24"/>
                <w:lang w:val="en-US" w:eastAsia="zh-CN"/>
              </w:rPr>
              <w:t>=0.01t/a。</w:t>
            </w:r>
          </w:p>
          <w:p>
            <w:pPr>
              <w:pStyle w:val="184"/>
              <w:keepNext w:val="0"/>
              <w:keepLines w:val="0"/>
              <w:pageBreakBefore w:val="0"/>
              <w:widowControl w:val="0"/>
              <w:kinsoku/>
              <w:wordWrap/>
              <w:overflowPunct/>
              <w:topLinePunct w:val="0"/>
              <w:autoSpaceDE w:val="0"/>
              <w:autoSpaceDN w:val="0"/>
              <w:bidi w:val="0"/>
              <w:adjustRightInd/>
              <w:snapToGrid/>
              <w:spacing w:line="360" w:lineRule="auto"/>
              <w:ind w:leftChars="0" w:firstLine="480" w:firstLineChars="200"/>
              <w:jc w:val="both"/>
              <w:textAlignment w:val="baseline"/>
              <w:outlineLvl w:val="9"/>
              <w:rPr>
                <w:rFonts w:hint="eastAsia" w:cs="Times New Roman"/>
                <w:color w:val="FF0000"/>
                <w:sz w:val="24"/>
                <w:szCs w:val="24"/>
                <w:lang w:val="en-US" w:eastAsia="zh-CN"/>
              </w:rPr>
            </w:pPr>
            <w:r>
              <w:rPr>
                <w:rFonts w:hint="eastAsia" w:cs="Times New Roman"/>
                <w:color w:val="FF0000"/>
                <w:sz w:val="24"/>
                <w:szCs w:val="24"/>
                <w:lang w:val="en-US" w:eastAsia="zh-CN"/>
              </w:rPr>
              <w:t>（2）</w:t>
            </w:r>
            <w:r>
              <w:rPr>
                <w:rFonts w:hint="eastAsia" w:ascii="Times New Roman" w:hAnsi="Times New Roman" w:eastAsia="宋体" w:cs="Times New Roman"/>
                <w:b w:val="0"/>
                <w:bCs w:val="0"/>
                <w:color w:val="FF0000"/>
                <w:sz w:val="24"/>
                <w:szCs w:val="24"/>
                <w:lang w:val="en-US" w:eastAsia="zh-CN"/>
              </w:rPr>
              <w:t>废气总量控制指标</w:t>
            </w:r>
          </w:p>
          <w:p>
            <w:pPr>
              <w:pStyle w:val="184"/>
              <w:keepNext w:val="0"/>
              <w:keepLines w:val="0"/>
              <w:pageBreakBefore w:val="0"/>
              <w:widowControl w:val="0"/>
              <w:kinsoku/>
              <w:wordWrap/>
              <w:overflowPunct/>
              <w:topLinePunct w:val="0"/>
              <w:autoSpaceDE w:val="0"/>
              <w:autoSpaceDN w:val="0"/>
              <w:bidi w:val="0"/>
              <w:adjustRightInd/>
              <w:snapToGrid/>
              <w:spacing w:line="360" w:lineRule="auto"/>
              <w:ind w:leftChars="0" w:firstLine="480" w:firstLineChars="200"/>
              <w:jc w:val="both"/>
              <w:textAlignment w:val="baseline"/>
              <w:outlineLvl w:val="9"/>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val="en-US" w:eastAsia="zh-CN"/>
              </w:rPr>
              <w:t>项目VOCs</w:t>
            </w:r>
            <w:r>
              <w:rPr>
                <w:rFonts w:hint="eastAsia" w:ascii="Times New Roman" w:hAnsi="Times New Roman" w:eastAsia="宋体" w:cs="Times New Roman"/>
                <w:color w:val="FF0000"/>
                <w:sz w:val="24"/>
                <w:szCs w:val="24"/>
                <w:lang w:val="en-US" w:eastAsia="zh-CN"/>
              </w:rPr>
              <w:t>产生量为1.886t/a，收集效率90%，有组织</w:t>
            </w:r>
            <w:r>
              <w:rPr>
                <w:rFonts w:hint="default" w:ascii="Times New Roman" w:hAnsi="Times New Roman" w:eastAsia="宋体" w:cs="Times New Roman"/>
                <w:color w:val="FF0000"/>
                <w:sz w:val="24"/>
                <w:szCs w:val="24"/>
                <w:lang w:val="en-US" w:eastAsia="zh-CN"/>
              </w:rPr>
              <w:t>产生量为1.</w:t>
            </w:r>
            <w:r>
              <w:rPr>
                <w:rFonts w:hint="eastAsia" w:ascii="Times New Roman" w:hAnsi="Times New Roman" w:eastAsia="宋体" w:cs="Times New Roman"/>
                <w:color w:val="FF0000"/>
                <w:sz w:val="24"/>
                <w:szCs w:val="24"/>
                <w:lang w:val="en-US" w:eastAsia="zh-CN"/>
              </w:rPr>
              <w:t>70</w:t>
            </w:r>
            <w:r>
              <w:rPr>
                <w:rFonts w:hint="default" w:ascii="Times New Roman" w:hAnsi="Times New Roman" w:eastAsia="宋体" w:cs="Times New Roman"/>
                <w:color w:val="FF0000"/>
                <w:sz w:val="24"/>
                <w:szCs w:val="24"/>
                <w:lang w:val="en-US" w:eastAsia="zh-CN"/>
              </w:rPr>
              <w:t>t/a，处理效率</w:t>
            </w:r>
            <w:r>
              <w:rPr>
                <w:rFonts w:hint="eastAsia" w:ascii="Times New Roman" w:hAnsi="Times New Roman" w:eastAsia="宋体" w:cs="Times New Roman"/>
                <w:color w:val="FF0000"/>
                <w:sz w:val="24"/>
                <w:szCs w:val="24"/>
                <w:lang w:val="en-US" w:eastAsia="zh-CN"/>
              </w:rPr>
              <w:t>8</w:t>
            </w:r>
            <w:r>
              <w:rPr>
                <w:rFonts w:hint="default" w:ascii="Times New Roman" w:hAnsi="Times New Roman" w:eastAsia="宋体" w:cs="Times New Roman"/>
                <w:color w:val="FF0000"/>
                <w:sz w:val="24"/>
                <w:szCs w:val="24"/>
                <w:lang w:val="en-US" w:eastAsia="zh-CN"/>
              </w:rPr>
              <w:t>0%，则VOCs总量控制指标：</w:t>
            </w:r>
            <w:r>
              <w:rPr>
                <w:rFonts w:hint="eastAsia" w:ascii="Times New Roman" w:hAnsi="Times New Roman" w:eastAsia="宋体" w:cs="Times New Roman"/>
                <w:color w:val="FF0000"/>
                <w:sz w:val="24"/>
                <w:szCs w:val="24"/>
                <w:lang w:val="en-US" w:eastAsia="zh-CN"/>
              </w:rPr>
              <w:t>1.886</w:t>
            </w:r>
            <w:r>
              <w:rPr>
                <w:rFonts w:hint="default" w:ascii="Times New Roman" w:hAnsi="Times New Roman" w:eastAsia="宋体" w:cs="Times New Roman"/>
                <w:color w:val="FF0000"/>
                <w:sz w:val="24"/>
                <w:szCs w:val="24"/>
                <w:lang w:val="en-US" w:eastAsia="zh-CN"/>
              </w:rPr>
              <w:t>×</w:t>
            </w:r>
            <w:r>
              <w:rPr>
                <w:rFonts w:hint="eastAsia" w:ascii="Times New Roman" w:hAnsi="Times New Roman" w:eastAsia="宋体" w:cs="Times New Roman"/>
                <w:color w:val="FF0000"/>
                <w:sz w:val="24"/>
                <w:szCs w:val="24"/>
                <w:lang w:val="en-US" w:eastAsia="zh-CN"/>
              </w:rPr>
              <w:t>0.9</w:t>
            </w:r>
            <w:r>
              <w:rPr>
                <w:rFonts w:hint="default" w:ascii="Times New Roman" w:hAnsi="Times New Roman" w:eastAsia="宋体" w:cs="Times New Roman"/>
                <w:color w:val="FF0000"/>
                <w:sz w:val="24"/>
                <w:szCs w:val="24"/>
                <w:lang w:val="en-US" w:eastAsia="zh-CN"/>
              </w:rPr>
              <w:t>×</w:t>
            </w:r>
            <w:r>
              <w:rPr>
                <w:rFonts w:hint="eastAsia" w:ascii="Times New Roman" w:hAnsi="Times New Roman" w:eastAsia="宋体" w:cs="Times New Roman"/>
                <w:color w:val="FF0000"/>
                <w:sz w:val="24"/>
                <w:szCs w:val="24"/>
                <w:lang w:val="en-US" w:eastAsia="zh-CN"/>
              </w:rPr>
              <w:t>0.</w:t>
            </w:r>
            <w:r>
              <w:rPr>
                <w:rFonts w:hint="eastAsia" w:cs="Times New Roman"/>
                <w:color w:val="FF0000"/>
                <w:sz w:val="24"/>
                <w:szCs w:val="24"/>
                <w:lang w:val="en-US" w:eastAsia="zh-CN"/>
              </w:rPr>
              <w:t>2</w:t>
            </w:r>
            <w:r>
              <w:rPr>
                <w:rFonts w:hint="default" w:ascii="Times New Roman" w:hAnsi="Times New Roman" w:eastAsia="宋体" w:cs="Times New Roman"/>
                <w:color w:val="FF0000"/>
                <w:sz w:val="24"/>
                <w:szCs w:val="24"/>
                <w:lang w:val="en-US" w:eastAsia="zh-CN"/>
              </w:rPr>
              <w:t>=</w:t>
            </w:r>
            <w:r>
              <w:rPr>
                <w:rFonts w:hint="eastAsia" w:ascii="Times New Roman" w:hAnsi="Times New Roman" w:eastAsia="宋体" w:cs="Times New Roman"/>
                <w:color w:val="FF0000"/>
                <w:sz w:val="24"/>
                <w:szCs w:val="24"/>
                <w:lang w:val="en-US" w:eastAsia="zh-CN"/>
              </w:rPr>
              <w:t>0.34</w:t>
            </w:r>
            <w:r>
              <w:rPr>
                <w:rFonts w:hint="default" w:ascii="Times New Roman" w:hAnsi="Times New Roman" w:eastAsia="宋体" w:cs="Times New Roman"/>
                <w:color w:val="FF0000"/>
                <w:sz w:val="24"/>
                <w:szCs w:val="24"/>
                <w:lang w:val="en-US" w:eastAsia="zh-CN"/>
              </w:rPr>
              <w:t>t/a。</w:t>
            </w:r>
          </w:p>
          <w:p>
            <w:pPr>
              <w:adjustRightInd w:val="0"/>
              <w:snapToGrid w:val="0"/>
              <w:spacing w:line="240" w:lineRule="auto"/>
              <w:ind w:firstLine="0" w:firstLineChars="0"/>
              <w:jc w:val="center"/>
              <w:rPr>
                <w:b/>
                <w:bCs/>
                <w:color w:val="FF0000"/>
                <w:sz w:val="21"/>
                <w:szCs w:val="21"/>
              </w:rPr>
            </w:pPr>
            <w:r>
              <w:rPr>
                <w:b/>
                <w:bCs/>
                <w:color w:val="FF0000"/>
                <w:sz w:val="21"/>
                <w:szCs w:val="21"/>
              </w:rPr>
              <w:t>表3-</w:t>
            </w:r>
            <w:r>
              <w:rPr>
                <w:rFonts w:hint="eastAsia"/>
                <w:b/>
                <w:bCs/>
                <w:color w:val="FF0000"/>
                <w:sz w:val="21"/>
                <w:szCs w:val="21"/>
              </w:rPr>
              <w:t>9</w:t>
            </w:r>
            <w:r>
              <w:rPr>
                <w:b/>
                <w:bCs/>
                <w:color w:val="FF0000"/>
                <w:sz w:val="21"/>
                <w:szCs w:val="21"/>
              </w:rPr>
              <w:t xml:space="preserve">  项目总量控制指标</w:t>
            </w:r>
          </w:p>
          <w:tbl>
            <w:tblPr>
              <w:tblStyle w:val="27"/>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469"/>
              <w:gridCol w:w="2571"/>
              <w:gridCol w:w="14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80"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b/>
                      <w:bCs/>
                      <w:color w:val="FF0000"/>
                      <w:sz w:val="21"/>
                      <w:szCs w:val="21"/>
                    </w:rPr>
                    <w:t>总量控制污染物</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b/>
                      <w:bCs/>
                      <w:color w:val="FF0000"/>
                      <w:sz w:val="21"/>
                      <w:szCs w:val="21"/>
                    </w:rPr>
                    <w:t>COD</w:t>
                  </w:r>
                  <w:r>
                    <w:rPr>
                      <w:b/>
                      <w:bCs/>
                      <w:color w:val="FF0000"/>
                      <w:sz w:val="21"/>
                      <w:szCs w:val="21"/>
                      <w:vertAlign w:val="subscript"/>
                    </w:rPr>
                    <w:t>Cr</w:t>
                  </w:r>
                </w:p>
              </w:tc>
              <w:tc>
                <w:tcPr>
                  <w:tcW w:w="1689"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b/>
                      <w:bCs/>
                      <w:color w:val="FF0000"/>
                      <w:sz w:val="21"/>
                      <w:szCs w:val="21"/>
                    </w:rPr>
                    <w:t>氨氮</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FF0000"/>
                      <w:sz w:val="21"/>
                      <w:szCs w:val="21"/>
                    </w:rPr>
                  </w:pPr>
                  <w:r>
                    <w:rPr>
                      <w:rFonts w:hint="eastAsia"/>
                      <w:color w:val="FF0000"/>
                      <w:sz w:val="21"/>
                      <w:szCs w:val="21"/>
                    </w:rPr>
                    <w:t>VOCs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0"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FF0000"/>
                      <w:sz w:val="21"/>
                      <w:szCs w:val="21"/>
                    </w:rPr>
                  </w:pPr>
                  <w:r>
                    <w:rPr>
                      <w:color w:val="FF0000"/>
                      <w:sz w:val="21"/>
                      <w:szCs w:val="21"/>
                    </w:rPr>
                    <w:t>总量控制指标</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FF0000"/>
                      <w:sz w:val="21"/>
                      <w:szCs w:val="21"/>
                      <w:lang w:val="en-US" w:eastAsia="zh-CN"/>
                    </w:rPr>
                  </w:pPr>
                  <w:r>
                    <w:rPr>
                      <w:rFonts w:hint="eastAsia" w:ascii="Times New Roman" w:hAnsi="Times New Roman" w:cs="Times New Roman"/>
                      <w:snapToGrid w:val="0"/>
                      <w:color w:val="FF0000"/>
                      <w:kern w:val="21"/>
                      <w:szCs w:val="21"/>
                      <w:lang w:val="en-US" w:eastAsia="zh-CN"/>
                    </w:rPr>
                    <w:t>0.1t/a</w:t>
                  </w:r>
                </w:p>
              </w:tc>
              <w:tc>
                <w:tcPr>
                  <w:tcW w:w="1689"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FF0000"/>
                      <w:sz w:val="21"/>
                      <w:szCs w:val="21"/>
                      <w:lang w:val="en-US" w:eastAsia="zh-CN"/>
                    </w:rPr>
                  </w:pPr>
                  <w:r>
                    <w:rPr>
                      <w:rFonts w:hint="eastAsia" w:ascii="Times New Roman" w:hAnsi="Times New Roman" w:eastAsia="宋体" w:cs="Times New Roman"/>
                      <w:color w:val="FF0000"/>
                      <w:szCs w:val="21"/>
                      <w:lang w:val="en-US" w:eastAsia="zh-CN"/>
                    </w:rPr>
                    <w:t>0.0</w:t>
                  </w:r>
                  <w:r>
                    <w:rPr>
                      <w:rFonts w:hint="eastAsia" w:cs="Times New Roman"/>
                      <w:color w:val="FF0000"/>
                      <w:szCs w:val="21"/>
                      <w:lang w:val="en-US" w:eastAsia="zh-CN"/>
                    </w:rPr>
                    <w:t>1</w:t>
                  </w:r>
                  <w:r>
                    <w:rPr>
                      <w:rFonts w:hint="eastAsia" w:ascii="Times New Roman" w:hAnsi="Times New Roman" w:cs="Times New Roman"/>
                      <w:snapToGrid w:val="0"/>
                      <w:color w:val="FF0000"/>
                      <w:kern w:val="21"/>
                      <w:szCs w:val="21"/>
                      <w:lang w:val="en-US" w:eastAsia="zh-CN"/>
                    </w:rPr>
                    <w:t>t/a</w:t>
                  </w:r>
                </w:p>
              </w:tc>
              <w:tc>
                <w:tcPr>
                  <w:tcW w:w="965" w:type="pct"/>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FF0000"/>
                      <w:sz w:val="21"/>
                      <w:szCs w:val="21"/>
                      <w:lang w:val="en-US" w:eastAsia="zh-CN"/>
                    </w:rPr>
                  </w:pPr>
                  <w:r>
                    <w:rPr>
                      <w:rFonts w:hint="eastAsia" w:ascii="Times New Roman" w:cs="Times New Roman"/>
                      <w:snapToGrid w:val="0"/>
                      <w:color w:val="FF0000"/>
                      <w:kern w:val="21"/>
                      <w:szCs w:val="21"/>
                      <w:lang w:val="en-US" w:eastAsia="zh-CN"/>
                    </w:rPr>
                    <w:t>0.34t/a</w:t>
                  </w:r>
                </w:p>
              </w:tc>
            </w:tr>
          </w:tbl>
          <w:p>
            <w:pPr>
              <w:spacing w:line="360" w:lineRule="auto"/>
              <w:ind w:firstLine="420" w:firstLineChars="200"/>
              <w:rPr>
                <w:rFonts w:hint="default" w:ascii="Times New Roman" w:hAnsi="Times New Roman" w:cs="Times New Roman"/>
                <w:kern w:val="0"/>
                <w:szCs w:val="21"/>
              </w:rPr>
            </w:pPr>
          </w:p>
        </w:tc>
      </w:tr>
    </w:tbl>
    <w:p>
      <w:pPr>
        <w:pStyle w:val="24"/>
        <w:jc w:val="center"/>
        <w:outlineLvl w:val="0"/>
        <w:rPr>
          <w:rFonts w:hint="eastAsia" w:ascii="黑体" w:hAnsi="黑体" w:eastAsia="黑体"/>
          <w:snapToGrid w:val="0"/>
          <w:sz w:val="30"/>
          <w:szCs w:val="30"/>
        </w:rPr>
      </w:pPr>
      <w:r>
        <w:rPr>
          <w:rFonts w:ascii="黑体" w:hAnsi="黑体" w:eastAsia="黑体"/>
          <w:snapToGrid w:val="0"/>
          <w:sz w:val="36"/>
          <w:szCs w:val="36"/>
        </w:rPr>
        <w:br w:type="page"/>
      </w:r>
      <w:bookmarkStart w:id="22" w:name="_Toc26485"/>
      <w:bookmarkStart w:id="23" w:name="_Toc10796"/>
      <w:r>
        <w:rPr>
          <w:rFonts w:hint="eastAsia" w:ascii="黑体" w:hAnsi="黑体" w:eastAsia="黑体"/>
          <w:snapToGrid w:val="0"/>
          <w:sz w:val="30"/>
          <w:szCs w:val="30"/>
        </w:rPr>
        <w:t>四、主要环境影响和保护措施</w:t>
      </w:r>
      <w:bookmarkEnd w:id="22"/>
      <w:bookmarkEnd w:id="23"/>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5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57" w:type="dxa"/>
            <w:noWrap w:val="0"/>
            <w:tcMar>
              <w:left w:w="28" w:type="dxa"/>
              <w:right w:w="28" w:type="dxa"/>
            </w:tcMar>
            <w:vAlign w:val="center"/>
          </w:tcPr>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施工</w:t>
            </w:r>
          </w:p>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期环</w:t>
            </w:r>
          </w:p>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境保</w:t>
            </w:r>
          </w:p>
          <w:p>
            <w:pPr>
              <w:pStyle w:val="24"/>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护措</w:t>
            </w:r>
          </w:p>
          <w:p>
            <w:pPr>
              <w:pStyle w:val="24"/>
              <w:adjustRightInd w:val="0"/>
              <w:snapToGrid w:val="0"/>
              <w:spacing w:before="0" w:beforeAutospacing="0" w:after="0" w:afterAutospacing="0"/>
              <w:jc w:val="center"/>
              <w:rPr>
                <w:rFonts w:hint="eastAsia" w:cs="宋体"/>
                <w:bCs/>
                <w:kern w:val="2"/>
                <w:sz w:val="21"/>
                <w:szCs w:val="21"/>
              </w:rPr>
            </w:pPr>
            <w:r>
              <w:rPr>
                <w:rFonts w:hint="eastAsia" w:cs="宋体"/>
                <w:kern w:val="2"/>
                <w:sz w:val="24"/>
                <w:szCs w:val="24"/>
              </w:rPr>
              <w:t>施</w:t>
            </w:r>
          </w:p>
        </w:tc>
        <w:tc>
          <w:tcPr>
            <w:tcW w:w="8524" w:type="dxa"/>
            <w:noWrap w:val="0"/>
            <w:vAlign w:val="center"/>
          </w:tcPr>
          <w:p>
            <w:pPr>
              <w:adjustRightInd w:val="0"/>
              <w:snapToGrid w:val="0"/>
              <w:spacing w:line="360" w:lineRule="auto"/>
              <w:ind w:firstLine="480" w:firstLineChars="200"/>
              <w:rPr>
                <w:rFonts w:hint="default" w:ascii="宋体" w:hAnsi="宋体" w:cs="宋体"/>
                <w:bCs/>
                <w:spacing w:val="-10"/>
                <w:szCs w:val="21"/>
                <w:lang w:val="en-US"/>
              </w:rPr>
            </w:pPr>
            <w:r>
              <w:rPr>
                <w:rFonts w:hint="eastAsia" w:ascii="Times New Roman" w:hAnsi="Times New Roman" w:eastAsia="宋体" w:cs="Times New Roman"/>
                <w:kern w:val="0"/>
                <w:sz w:val="24"/>
                <w:szCs w:val="20"/>
                <w:lang w:val="en-US" w:eastAsia="zh-CN"/>
              </w:rPr>
              <w:t>本项目为租赁厂房进行建设，施工期仅为简单的设备安装，不涉及土建施工，故本环评对此不做分析。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57"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8524" w:type="dxa"/>
            <w:noWrap w:val="0"/>
            <w:vAlign w:val="center"/>
          </w:tcPr>
          <w:p>
            <w:pPr>
              <w:numPr>
                <w:ilvl w:val="0"/>
                <w:numId w:val="6"/>
              </w:numPr>
              <w:adjustRightInd w:val="0"/>
              <w:snapToGrid w:val="0"/>
              <w:spacing w:line="360" w:lineRule="auto"/>
              <w:ind w:firstLine="442" w:firstLineChars="200"/>
              <w:rPr>
                <w:rFonts w:hint="eastAsia" w:cs="Times New Roman"/>
                <w:b/>
                <w:bCs w:val="0"/>
                <w:spacing w:val="-10"/>
                <w:sz w:val="24"/>
                <w:szCs w:val="24"/>
                <w:lang w:val="en-US" w:eastAsia="zh-CN"/>
              </w:rPr>
            </w:pPr>
            <w:r>
              <w:rPr>
                <w:rFonts w:hint="eastAsia" w:cs="Times New Roman"/>
                <w:b/>
                <w:bCs w:val="0"/>
                <w:spacing w:val="-10"/>
                <w:sz w:val="24"/>
                <w:szCs w:val="24"/>
                <w:lang w:val="en-US" w:eastAsia="zh-CN"/>
              </w:rPr>
              <w:t>废水</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eastAsia"/>
                <w:sz w:val="24"/>
                <w:szCs w:val="32"/>
                <w:lang w:val="en-US" w:eastAsia="zh-CN"/>
              </w:rPr>
              <w:t>（1）废水源强情况</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eastAsia"/>
                <w:sz w:val="24"/>
                <w:szCs w:val="32"/>
                <w:lang w:val="en-US" w:eastAsia="zh-CN"/>
              </w:rPr>
              <w:t>1）生活污水</w:t>
            </w:r>
          </w:p>
          <w:p>
            <w:pPr>
              <w:keepNext w:val="0"/>
              <w:keepLines w:val="0"/>
              <w:pageBreakBefore w:val="0"/>
              <w:tabs>
                <w:tab w:val="left" w:pos="6480"/>
              </w:tabs>
              <w:kinsoku/>
              <w:wordWrap/>
              <w:overflowPunct/>
              <w:topLinePunct w:val="0"/>
              <w:bidi w:val="0"/>
              <w:spacing w:line="360" w:lineRule="auto"/>
              <w:ind w:firstLine="480" w:firstLineChars="200"/>
              <w:rPr>
                <w:rFonts w:hint="default"/>
                <w:color w:val="auto"/>
                <w:sz w:val="24"/>
                <w:szCs w:val="32"/>
                <w:lang w:val="en-US" w:eastAsia="zh-CN"/>
              </w:rPr>
            </w:pPr>
            <w:r>
              <w:rPr>
                <w:rFonts w:hint="default"/>
                <w:sz w:val="24"/>
                <w:szCs w:val="32"/>
                <w:lang w:val="en-US" w:eastAsia="zh-CN"/>
              </w:rPr>
              <w:t>项目生活污水主要来源于厂区内员工办公、生活，参照</w:t>
            </w:r>
            <w:r>
              <w:rPr>
                <w:rFonts w:hint="eastAsia"/>
                <w:sz w:val="24"/>
                <w:szCs w:val="32"/>
                <w:lang w:val="en-US" w:eastAsia="zh-CN"/>
              </w:rPr>
              <w:t>（</w:t>
            </w:r>
            <w:r>
              <w:rPr>
                <w:rFonts w:hint="default"/>
                <w:sz w:val="24"/>
                <w:szCs w:val="32"/>
                <w:lang w:val="en-US" w:eastAsia="zh-CN"/>
              </w:rPr>
              <w:t>DB36-T419-2017</w:t>
            </w:r>
            <w:r>
              <w:rPr>
                <w:rFonts w:hint="eastAsia"/>
                <w:sz w:val="24"/>
                <w:szCs w:val="32"/>
                <w:lang w:val="en-US" w:eastAsia="zh-CN"/>
              </w:rPr>
              <w:t>）</w:t>
            </w:r>
            <w:r>
              <w:rPr>
                <w:rFonts w:hint="default"/>
                <w:sz w:val="24"/>
                <w:szCs w:val="32"/>
                <w:lang w:val="en-US" w:eastAsia="zh-CN"/>
              </w:rPr>
              <w:t>，员工生活用水以</w:t>
            </w:r>
            <w:r>
              <w:rPr>
                <w:rFonts w:hint="eastAsia"/>
                <w:sz w:val="24"/>
                <w:szCs w:val="32"/>
                <w:lang w:val="en-US" w:eastAsia="zh-CN"/>
              </w:rPr>
              <w:t>50</w:t>
            </w:r>
            <w:r>
              <w:rPr>
                <w:rFonts w:hint="default"/>
                <w:sz w:val="24"/>
                <w:szCs w:val="32"/>
                <w:lang w:val="en-US" w:eastAsia="zh-CN"/>
              </w:rPr>
              <w:t>L/人·天计算，项目员工定员</w:t>
            </w:r>
            <w:r>
              <w:rPr>
                <w:rFonts w:hint="eastAsia"/>
                <w:sz w:val="24"/>
                <w:szCs w:val="32"/>
                <w:lang w:val="en-US" w:eastAsia="zh-CN"/>
              </w:rPr>
              <w:t>100</w:t>
            </w:r>
            <w:r>
              <w:rPr>
                <w:rFonts w:hint="default"/>
                <w:sz w:val="24"/>
                <w:szCs w:val="32"/>
                <w:lang w:val="en-US" w:eastAsia="zh-CN"/>
              </w:rPr>
              <w:t>人，年工作时间为300天，则年用水量约为</w:t>
            </w:r>
            <w:r>
              <w:rPr>
                <w:rFonts w:hint="eastAsia"/>
                <w:sz w:val="24"/>
                <w:szCs w:val="32"/>
                <w:lang w:val="en-US" w:eastAsia="zh-CN"/>
              </w:rPr>
              <w:t>1500</w:t>
            </w:r>
            <w:r>
              <w:rPr>
                <w:rFonts w:hint="default"/>
                <w:sz w:val="24"/>
                <w:szCs w:val="32"/>
                <w:lang w:val="en-US" w:eastAsia="zh-CN"/>
              </w:rPr>
              <w:t>m</w:t>
            </w:r>
            <w:r>
              <w:rPr>
                <w:rFonts w:hint="eastAsia"/>
                <w:sz w:val="24"/>
                <w:szCs w:val="32"/>
                <w:vertAlign w:val="superscript"/>
                <w:lang w:val="en-US" w:eastAsia="zh-CN"/>
              </w:rPr>
              <w:t>3</w:t>
            </w:r>
            <w:r>
              <w:rPr>
                <w:rFonts w:hint="default"/>
                <w:sz w:val="24"/>
                <w:szCs w:val="32"/>
                <w:lang w:val="en-US" w:eastAsia="zh-CN"/>
              </w:rPr>
              <w:t>/a，排污系数为0.8，废水产生量为</w:t>
            </w:r>
            <w:r>
              <w:rPr>
                <w:rFonts w:hint="eastAsia"/>
                <w:sz w:val="24"/>
                <w:szCs w:val="32"/>
                <w:lang w:val="en-US" w:eastAsia="zh-CN"/>
              </w:rPr>
              <w:t>1200</w:t>
            </w:r>
            <w:r>
              <w:rPr>
                <w:rFonts w:hint="default"/>
                <w:sz w:val="24"/>
                <w:szCs w:val="32"/>
                <w:lang w:val="en-US" w:eastAsia="zh-CN"/>
              </w:rPr>
              <w:t>m³/a。参照《环保统计手册》（化学工业出版社），生活污水中各污染物产生浓度为</w:t>
            </w:r>
            <w:r>
              <w:rPr>
                <w:rFonts w:hint="default"/>
                <w:color w:val="auto"/>
                <w:sz w:val="24"/>
                <w:szCs w:val="32"/>
                <w:lang w:val="en-US" w:eastAsia="zh-CN"/>
              </w:rPr>
              <w:t>COD：</w:t>
            </w:r>
            <w:r>
              <w:rPr>
                <w:rFonts w:hint="eastAsia"/>
                <w:color w:val="auto"/>
                <w:sz w:val="24"/>
                <w:szCs w:val="32"/>
                <w:lang w:val="en-US" w:eastAsia="zh-CN"/>
              </w:rPr>
              <w:t>250</w:t>
            </w:r>
            <w:r>
              <w:rPr>
                <w:rFonts w:hint="default"/>
                <w:color w:val="auto"/>
                <w:sz w:val="24"/>
                <w:szCs w:val="32"/>
                <w:lang w:val="en-US" w:eastAsia="zh-CN"/>
              </w:rPr>
              <w:t>mg/L、BOD：</w:t>
            </w:r>
            <w:r>
              <w:rPr>
                <w:rFonts w:hint="eastAsia"/>
                <w:color w:val="auto"/>
                <w:sz w:val="24"/>
                <w:szCs w:val="32"/>
                <w:lang w:val="en-US" w:eastAsia="zh-CN"/>
              </w:rPr>
              <w:t>12</w:t>
            </w:r>
            <w:r>
              <w:rPr>
                <w:rFonts w:hint="default"/>
                <w:color w:val="auto"/>
                <w:sz w:val="24"/>
                <w:szCs w:val="32"/>
                <w:lang w:val="en-US" w:eastAsia="zh-CN"/>
              </w:rPr>
              <w:t>0mg/L、SS：2</w:t>
            </w:r>
            <w:r>
              <w:rPr>
                <w:rFonts w:hint="eastAsia"/>
                <w:color w:val="auto"/>
                <w:sz w:val="24"/>
                <w:szCs w:val="32"/>
                <w:lang w:val="en-US" w:eastAsia="zh-CN"/>
              </w:rPr>
              <w:t>0</w:t>
            </w:r>
            <w:r>
              <w:rPr>
                <w:rFonts w:hint="default"/>
                <w:color w:val="auto"/>
                <w:sz w:val="24"/>
                <w:szCs w:val="32"/>
                <w:lang w:val="en-US" w:eastAsia="zh-CN"/>
              </w:rPr>
              <w:t>0mg/L、氨氮：</w:t>
            </w:r>
            <w:r>
              <w:rPr>
                <w:rFonts w:hint="eastAsia"/>
                <w:color w:val="auto"/>
                <w:sz w:val="24"/>
                <w:szCs w:val="32"/>
                <w:lang w:val="en-US" w:eastAsia="zh-CN"/>
              </w:rPr>
              <w:t>25</w:t>
            </w:r>
            <w:r>
              <w:rPr>
                <w:rFonts w:hint="default"/>
                <w:color w:val="auto"/>
                <w:sz w:val="24"/>
                <w:szCs w:val="32"/>
                <w:lang w:val="en-US" w:eastAsia="zh-CN"/>
              </w:rPr>
              <w:t>mg/L</w:t>
            </w:r>
            <w:r>
              <w:rPr>
                <w:rFonts w:hint="eastAsia"/>
                <w:color w:val="auto"/>
                <w:sz w:val="24"/>
                <w:szCs w:val="32"/>
                <w:lang w:val="en-US" w:eastAsia="zh-CN"/>
              </w:rPr>
              <w:t>、动植物油：30mg/L</w:t>
            </w:r>
            <w:r>
              <w:rPr>
                <w:rFonts w:hint="default"/>
                <w:color w:val="auto"/>
                <w:sz w:val="24"/>
                <w:szCs w:val="32"/>
                <w:lang w:val="en-US" w:eastAsia="zh-CN"/>
              </w:rPr>
              <w:t>。</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default"/>
                <w:sz w:val="24"/>
                <w:szCs w:val="32"/>
                <w:lang w:val="en-US" w:eastAsia="zh-CN"/>
              </w:rPr>
              <w:t>2）</w:t>
            </w:r>
            <w:r>
              <w:rPr>
                <w:rFonts w:hint="eastAsia"/>
                <w:sz w:val="24"/>
                <w:szCs w:val="32"/>
                <w:lang w:val="en-US" w:eastAsia="zh-CN"/>
              </w:rPr>
              <w:t>超声波清洗废水</w:t>
            </w:r>
          </w:p>
          <w:p>
            <w:pPr>
              <w:spacing w:line="360" w:lineRule="auto"/>
              <w:ind w:firstLine="480" w:firstLineChars="200"/>
              <w:rPr>
                <w:rFonts w:hint="eastAsia"/>
                <w:sz w:val="24"/>
                <w:szCs w:val="32"/>
                <w:lang w:val="en-US" w:eastAsia="zh-CN"/>
              </w:rPr>
            </w:pPr>
            <w:r>
              <w:rPr>
                <w:rFonts w:hint="default" w:ascii="Times New Roman" w:hAnsi="Times New Roman" w:eastAsia="宋体" w:cs="Times New Roman"/>
                <w:sz w:val="24"/>
              </w:rPr>
              <w:t>本项目使用超声波清洗机（</w:t>
            </w:r>
            <w:r>
              <w:rPr>
                <w:rFonts w:hint="eastAsia" w:cs="Times New Roman"/>
                <w:sz w:val="24"/>
                <w:lang w:val="en-US" w:eastAsia="zh-CN"/>
              </w:rPr>
              <w:t>10</w:t>
            </w:r>
            <w:r>
              <w:rPr>
                <w:rFonts w:hint="default" w:ascii="Times New Roman" w:hAnsi="Times New Roman" w:eastAsia="宋体" w:cs="Times New Roman"/>
                <w:sz w:val="24"/>
              </w:rPr>
              <w:t>槽）进行清洗，</w:t>
            </w:r>
            <w:r>
              <w:rPr>
                <w:bCs/>
                <w:sz w:val="24"/>
              </w:rPr>
              <w:t>采用纯水清洗</w:t>
            </w:r>
            <w:r>
              <w:rPr>
                <w:rFonts w:hint="eastAsia" w:cs="Times New Roman"/>
                <w:sz w:val="24"/>
                <w:lang w:eastAsia="zh-CN"/>
              </w:rPr>
              <w:t>，</w:t>
            </w:r>
            <w:r>
              <w:rPr>
                <w:rFonts w:hint="default" w:ascii="Times New Roman" w:hAnsi="Times New Roman" w:eastAsia="宋体" w:cs="Times New Roman"/>
                <w:sz w:val="24"/>
              </w:rPr>
              <w:t>根据建设单位提供的资料，工件经过第一槽进行清洗后再放入第二槽进行清洗，以此类推，最后由第1</w:t>
            </w:r>
            <w:r>
              <w:rPr>
                <w:rFonts w:hint="eastAsia" w:cs="Times New Roman"/>
                <w:sz w:val="24"/>
                <w:lang w:val="en-US" w:eastAsia="zh-CN"/>
              </w:rPr>
              <w:t>0</w:t>
            </w:r>
            <w:r>
              <w:rPr>
                <w:rFonts w:hint="default" w:ascii="Times New Roman" w:hAnsi="Times New Roman" w:eastAsia="宋体" w:cs="Times New Roman"/>
                <w:sz w:val="24"/>
              </w:rPr>
              <w:t>槽进行清洗，</w:t>
            </w:r>
            <w:r>
              <w:rPr>
                <w:rFonts w:hint="eastAsia" w:cs="Times New Roman"/>
                <w:sz w:val="24"/>
                <w:lang w:val="en-US" w:eastAsia="zh-CN"/>
              </w:rPr>
              <w:t>清洗机</w:t>
            </w:r>
            <w:r>
              <w:rPr>
                <w:rFonts w:hint="default" w:ascii="Times New Roman" w:hAnsi="Times New Roman" w:eastAsia="宋体" w:cs="Times New Roman"/>
                <w:sz w:val="24"/>
              </w:rPr>
              <w:t>采用逆流溢流的方式进行清洗。超声波清洗机溢流量共为</w:t>
            </w:r>
            <w:r>
              <w:rPr>
                <w:rFonts w:hint="eastAsia" w:cs="Times New Roman"/>
                <w:sz w:val="24"/>
                <w:lang w:val="en-US" w:eastAsia="zh-CN"/>
              </w:rPr>
              <w:t>3</w:t>
            </w:r>
            <w:r>
              <w:rPr>
                <w:rFonts w:hint="default" w:ascii="Times New Roman" w:hAnsi="Times New Roman" w:eastAsia="宋体" w:cs="Times New Roman"/>
                <w:sz w:val="24"/>
              </w:rPr>
              <w:t>L/min，年工作300天，清洗机工作时间为</w:t>
            </w:r>
            <w:r>
              <w:rPr>
                <w:rFonts w:hint="eastAsia" w:cs="Times New Roman"/>
                <w:sz w:val="24"/>
                <w:lang w:val="en-US" w:eastAsia="zh-CN"/>
              </w:rPr>
              <w:t>11</w:t>
            </w:r>
            <w:r>
              <w:rPr>
                <w:rFonts w:hint="default" w:ascii="Times New Roman" w:hAnsi="Times New Roman" w:eastAsia="宋体" w:cs="Times New Roman"/>
                <w:sz w:val="24"/>
              </w:rPr>
              <w:t>h/d，则需补充的纯水量为</w:t>
            </w:r>
            <w:r>
              <w:rPr>
                <w:rFonts w:hint="eastAsia" w:cs="Times New Roman"/>
                <w:sz w:val="24"/>
                <w:lang w:val="en-US" w:eastAsia="zh-CN"/>
              </w:rPr>
              <w:t>594</w:t>
            </w:r>
            <w:r>
              <w:rPr>
                <w:rFonts w:hint="default" w:ascii="Times New Roman" w:hAnsi="Times New Roman" w:eastAsia="宋体" w:cs="Times New Roman"/>
                <w:sz w:val="24"/>
              </w:rPr>
              <w:t>t/a。</w:t>
            </w:r>
            <w:r>
              <w:rPr>
                <w:rFonts w:hint="eastAsia" w:cs="Times New Roman"/>
                <w:sz w:val="24"/>
                <w:lang w:val="en-US" w:eastAsia="zh-CN"/>
              </w:rPr>
              <w:t>清洗废水</w:t>
            </w:r>
            <w:r>
              <w:rPr>
                <w:rFonts w:hint="eastAsia" w:cs="Times New Roman"/>
                <w:sz w:val="24"/>
                <w:lang w:eastAsia="zh-CN"/>
              </w:rPr>
              <w:t>排污系数以0.9计，</w:t>
            </w:r>
            <w:r>
              <w:rPr>
                <w:rFonts w:hint="eastAsia" w:cs="Times New Roman"/>
                <w:sz w:val="24"/>
                <w:lang w:val="en-US" w:eastAsia="zh-CN"/>
              </w:rPr>
              <w:t>则</w:t>
            </w:r>
            <w:r>
              <w:rPr>
                <w:rFonts w:hint="eastAsia" w:cs="Times New Roman"/>
                <w:sz w:val="24"/>
                <w:lang w:eastAsia="zh-CN"/>
              </w:rPr>
              <w:t>清洗废水排放量为</w:t>
            </w:r>
            <w:r>
              <w:rPr>
                <w:rFonts w:hint="eastAsia" w:cs="Times New Roman"/>
                <w:sz w:val="24"/>
                <w:lang w:val="en-US" w:eastAsia="zh-CN"/>
              </w:rPr>
              <w:t>534.6</w:t>
            </w:r>
            <w:r>
              <w:rPr>
                <w:rFonts w:hint="eastAsia" w:cs="Times New Roman"/>
                <w:sz w:val="24"/>
                <w:lang w:eastAsia="zh-CN"/>
              </w:rPr>
              <w:t>t/a</w:t>
            </w:r>
            <w:r>
              <w:rPr>
                <w:rFonts w:hint="default" w:ascii="Times New Roman" w:hAnsi="Times New Roman" w:eastAsia="宋体" w:cs="Times New Roman"/>
                <w:sz w:val="24"/>
              </w:rPr>
              <w:t>。类比《上饶市忆诚光学仪器有限公司年产1000万片光学玻璃镜片建设项目》（已报批公示），各污染物的产生浓度为COD</w:t>
            </w:r>
            <w:r>
              <w:rPr>
                <w:rFonts w:hint="default" w:ascii="Times New Roman" w:hAnsi="Times New Roman" w:eastAsia="宋体" w:cs="Times New Roman"/>
                <w:sz w:val="24"/>
                <w:vertAlign w:val="subscript"/>
              </w:rPr>
              <w:t>Cr</w:t>
            </w:r>
            <w:r>
              <w:rPr>
                <w:rFonts w:hint="default" w:ascii="Times New Roman" w:hAnsi="Times New Roman" w:eastAsia="宋体" w:cs="Times New Roman"/>
                <w:sz w:val="24"/>
              </w:rPr>
              <w:t>：250mg/L、SS：150mg/L，经</w:t>
            </w:r>
            <w:r>
              <w:rPr>
                <w:rFonts w:hint="eastAsia" w:cs="Times New Roman"/>
                <w:sz w:val="24"/>
                <w:lang w:eastAsia="zh-CN"/>
              </w:rPr>
              <w:t>地埋式污水处理设施</w:t>
            </w:r>
            <w:r>
              <w:rPr>
                <w:rFonts w:hint="default" w:ascii="Times New Roman" w:hAnsi="Times New Roman" w:eastAsia="宋体" w:cs="Times New Roman"/>
                <w:sz w:val="24"/>
              </w:rPr>
              <w:t>处理达标后排入园区</w:t>
            </w:r>
            <w:r>
              <w:rPr>
                <w:rFonts w:hint="eastAsia" w:cs="Times New Roman"/>
                <w:sz w:val="24"/>
                <w:lang w:val="en-US" w:eastAsia="zh-CN"/>
              </w:rPr>
              <w:t>管网</w:t>
            </w:r>
            <w:r>
              <w:rPr>
                <w:rFonts w:hint="default" w:ascii="Times New Roman" w:hAnsi="Times New Roman" w:eastAsia="宋体" w:cs="Times New Roman"/>
                <w:sz w:val="24"/>
              </w:rPr>
              <w:t>。</w:t>
            </w:r>
          </w:p>
          <w:p>
            <w:pPr>
              <w:keepNext w:val="0"/>
              <w:keepLines w:val="0"/>
              <w:pageBreakBefore w:val="0"/>
              <w:kinsoku/>
              <w:wordWrap/>
              <w:overflowPunct/>
              <w:topLinePunct w:val="0"/>
              <w:bidi w:val="0"/>
              <w:spacing w:line="360" w:lineRule="auto"/>
              <w:ind w:firstLine="480" w:firstLineChars="200"/>
              <w:rPr>
                <w:rFonts w:hint="eastAsia"/>
                <w:sz w:val="24"/>
                <w:szCs w:val="32"/>
                <w:lang w:val="en-US" w:eastAsia="zh-CN"/>
              </w:rPr>
            </w:pPr>
            <w:r>
              <w:rPr>
                <w:rFonts w:hint="eastAsia"/>
                <w:sz w:val="24"/>
                <w:szCs w:val="32"/>
                <w:lang w:val="en-US" w:eastAsia="zh-CN"/>
              </w:rPr>
              <w:t>3）纯水制备浓水</w:t>
            </w:r>
          </w:p>
          <w:p>
            <w:pPr>
              <w:spacing w:line="360" w:lineRule="auto"/>
              <w:ind w:firstLine="480" w:firstLineChars="200"/>
              <w:rPr>
                <w:rFonts w:hint="eastAsia"/>
                <w:sz w:val="24"/>
                <w:szCs w:val="32"/>
                <w:lang w:val="en-US" w:eastAsia="zh-CN"/>
              </w:rPr>
            </w:pPr>
            <w:r>
              <w:rPr>
                <w:rFonts w:hint="eastAsia"/>
                <w:sz w:val="24"/>
                <w:szCs w:val="32"/>
                <w:lang w:val="en-US" w:eastAsia="zh-CN"/>
              </w:rPr>
              <w:t>本项目清洗用水均为纯水，纯水由纯水设备制备，</w:t>
            </w:r>
            <w:r>
              <w:rPr>
                <w:bCs/>
                <w:sz w:val="24"/>
              </w:rPr>
              <w:t>本项目纯水制备系统为RO过滤系统，RO过滤系统的原理是借助压力使水分子强迫透过对水分子有选择透过作用的反渗透膜，即是反渗透净水的原理，这种装置为反渗透装置根椐各种物料的不同渗透压，可以大于渗透压的反渗透法进行分离、提取、纯化和浓缩，</w:t>
            </w:r>
            <w:r>
              <w:rPr>
                <w:rFonts w:hint="eastAsia"/>
                <w:sz w:val="24"/>
                <w:szCs w:val="32"/>
                <w:lang w:val="en-US" w:eastAsia="zh-CN"/>
              </w:rPr>
              <w:t>纯水设备产水率为50%。本项目纯水需水量共594t/a，故本项目制备纯水时所需的新鲜用水量为1188t/a，浓水产生量为594t/a。该部分废水主要污染物为盐类（钙盐、镁盐等），水质简单无污染，类比纯水制备工艺相同的同类型项目的纯水浓水的监测报告（监测报告见附件八），悬浮物、化学需氧量、五日生化需氧量、氨氮检出结果分别为未检出、12.2mg/L、3.5mg/L和未检出，可作为清净下水排放，经园区污水管网外排至市政污水管网。</w:t>
            </w:r>
          </w:p>
          <w:p>
            <w:pPr>
              <w:keepNext w:val="0"/>
              <w:keepLines w:val="0"/>
              <w:pageBreakBefore w:val="0"/>
              <w:tabs>
                <w:tab w:val="left" w:pos="6480"/>
              </w:tabs>
              <w:kinsoku/>
              <w:wordWrap/>
              <w:overflowPunct/>
              <w:topLinePunct w:val="0"/>
              <w:bidi w:val="0"/>
              <w:spacing w:line="360" w:lineRule="auto"/>
              <w:ind w:firstLine="480" w:firstLineChars="200"/>
              <w:rPr>
                <w:rFonts w:hint="default"/>
                <w:sz w:val="24"/>
                <w:szCs w:val="32"/>
                <w:lang w:val="en-US" w:eastAsia="zh-CN"/>
              </w:rPr>
            </w:pPr>
            <w:r>
              <w:rPr>
                <w:rFonts w:hint="eastAsia"/>
                <w:sz w:val="24"/>
                <w:szCs w:val="32"/>
                <w:lang w:val="en-US" w:eastAsia="zh-CN"/>
              </w:rPr>
              <w:t>综上，本</w:t>
            </w:r>
            <w:r>
              <w:rPr>
                <w:rFonts w:hint="default"/>
                <w:sz w:val="24"/>
                <w:szCs w:val="32"/>
                <w:lang w:val="en-US" w:eastAsia="zh-CN"/>
              </w:rPr>
              <w:t>项目</w:t>
            </w:r>
            <w:r>
              <w:rPr>
                <w:rFonts w:hint="eastAsia"/>
                <w:sz w:val="24"/>
                <w:szCs w:val="32"/>
                <w:lang w:val="en-US" w:eastAsia="zh-CN"/>
              </w:rPr>
              <w:t>运营</w:t>
            </w:r>
            <w:r>
              <w:rPr>
                <w:rFonts w:hint="default"/>
                <w:sz w:val="24"/>
                <w:szCs w:val="32"/>
                <w:lang w:val="en-US" w:eastAsia="zh-CN"/>
              </w:rPr>
              <w:t>期排水汇总见表</w:t>
            </w:r>
            <w:r>
              <w:rPr>
                <w:rFonts w:hint="eastAsia"/>
                <w:sz w:val="24"/>
                <w:szCs w:val="32"/>
                <w:lang w:val="en-US" w:eastAsia="zh-CN"/>
              </w:rPr>
              <w:t>4-1</w:t>
            </w:r>
            <w:r>
              <w:rPr>
                <w:rFonts w:hint="default"/>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b/>
                <w:bCs/>
                <w:lang w:val="en-US" w:eastAsia="zh-CN"/>
              </w:rPr>
            </w:pPr>
            <w:r>
              <w:rPr>
                <w:rFonts w:hint="default"/>
                <w:b/>
                <w:bCs/>
                <w:lang w:val="en-US" w:eastAsia="zh-CN"/>
              </w:rPr>
              <w:t>表</w:t>
            </w:r>
            <w:r>
              <w:rPr>
                <w:rFonts w:hint="eastAsia"/>
                <w:b/>
                <w:bCs/>
                <w:lang w:val="en-US" w:eastAsia="zh-CN"/>
              </w:rPr>
              <w:t>4</w:t>
            </w:r>
            <w:r>
              <w:rPr>
                <w:rFonts w:hint="default"/>
                <w:b/>
                <w:bCs/>
                <w:lang w:val="en-US" w:eastAsia="zh-CN"/>
              </w:rPr>
              <w:t>-</w:t>
            </w:r>
            <w:r>
              <w:rPr>
                <w:rFonts w:hint="eastAsia"/>
                <w:b/>
                <w:bCs/>
                <w:lang w:val="en-US" w:eastAsia="zh-CN"/>
              </w:rPr>
              <w:t>1</w:t>
            </w:r>
            <w:r>
              <w:rPr>
                <w:rFonts w:hint="default"/>
                <w:b/>
                <w:bCs/>
                <w:lang w:val="en-US" w:eastAsia="zh-CN"/>
              </w:rPr>
              <w:t xml:space="preserve"> 项目</w:t>
            </w:r>
            <w:r>
              <w:rPr>
                <w:rFonts w:hint="eastAsia"/>
                <w:b/>
                <w:bCs/>
                <w:lang w:val="en-US" w:eastAsia="zh-CN"/>
              </w:rPr>
              <w:t>运营</w:t>
            </w:r>
            <w:r>
              <w:rPr>
                <w:rFonts w:hint="default"/>
                <w:b/>
                <w:bCs/>
                <w:lang w:val="en-US" w:eastAsia="zh-CN"/>
              </w:rPr>
              <w:t>期废水汇总</w:t>
            </w:r>
          </w:p>
          <w:tbl>
            <w:tblPr>
              <w:tblStyle w:val="27"/>
              <w:tblpPr w:leftFromText="181" w:rightFromText="181" w:vertAnchor="text" w:horzAnchor="margin" w:tblpX="1" w:tblpY="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303"/>
              <w:gridCol w:w="843"/>
              <w:gridCol w:w="865"/>
              <w:gridCol w:w="831"/>
              <w:gridCol w:w="849"/>
              <w:gridCol w:w="919"/>
              <w:gridCol w:w="1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废水名称</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单位</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COD</w:t>
                  </w:r>
                  <w:r>
                    <w:rPr>
                      <w:rFonts w:ascii="Times New Roman" w:hAnsi="Times New Roman" w:eastAsia="宋体" w:cs="Times New Roman"/>
                      <w:b/>
                      <w:szCs w:val="21"/>
                      <w:vertAlign w:val="subscript"/>
                    </w:rPr>
                    <w:t>Cr</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BOD</w:t>
                  </w:r>
                  <w:r>
                    <w:rPr>
                      <w:rFonts w:ascii="Times New Roman" w:hAnsi="Times New Roman" w:eastAsia="宋体" w:cs="Times New Roman"/>
                      <w:b/>
                      <w:szCs w:val="21"/>
                      <w:vertAlign w:val="subscript"/>
                    </w:rPr>
                    <w:t>5</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SS</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b/>
                      <w:szCs w:val="21"/>
                    </w:rPr>
                  </w:pPr>
                  <w:r>
                    <w:rPr>
                      <w:rFonts w:ascii="Times New Roman" w:hAnsi="Times New Roman" w:eastAsia="宋体" w:cs="Times New Roman"/>
                      <w:b/>
                      <w:szCs w:val="21"/>
                    </w:rPr>
                    <w:t>NH</w:t>
                  </w:r>
                  <w:r>
                    <w:rPr>
                      <w:rFonts w:ascii="Times New Roman" w:hAnsi="Times New Roman" w:eastAsia="宋体" w:cs="Times New Roman"/>
                      <w:b/>
                      <w:szCs w:val="21"/>
                      <w:vertAlign w:val="subscript"/>
                    </w:rPr>
                    <w:t>3</w:t>
                  </w:r>
                  <w:r>
                    <w:rPr>
                      <w:rFonts w:ascii="Times New Roman" w:hAnsi="Times New Roman" w:eastAsia="宋体" w:cs="Times New Roman"/>
                      <w:b/>
                      <w:szCs w:val="21"/>
                    </w:rPr>
                    <w:t>-N</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szCs w:val="21"/>
                      <w:lang w:val="en-US" w:eastAsia="zh-CN"/>
                    </w:rPr>
                  </w:pPr>
                  <w:r>
                    <w:rPr>
                      <w:rFonts w:hint="eastAsia" w:ascii="Times New Roman" w:hAnsi="Times New Roman" w:eastAsia="宋体" w:cs="Times New Roman"/>
                      <w:b/>
                      <w:szCs w:val="21"/>
                      <w:lang w:val="en-US" w:eastAsia="zh-CN"/>
                    </w:rPr>
                    <w:t>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6" w:type="pct"/>
                  <w:vMerge w:val="restar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eastAsia"/>
                      <w:szCs w:val="21"/>
                    </w:rPr>
                    <w:t>超声波清洗废水</w:t>
                  </w:r>
                  <w:r>
                    <w:rPr>
                      <w:rFonts w:hint="eastAsia"/>
                      <w:szCs w:val="21"/>
                      <w:lang w:val="en-US" w:eastAsia="zh-CN"/>
                    </w:rPr>
                    <w:t>534.6</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产生浓度</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150</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hint="default" w:ascii="Times New Roman" w:hAnsi="Times New Roman" w:eastAsia="宋体" w:cs="Times New Roman"/>
                      <w:kern w:val="0"/>
                      <w:szCs w:val="21"/>
                      <w:lang w:val="en-US" w:eastAsia="zh-CN" w:bidi="ar"/>
                    </w:rPr>
                  </w:pPr>
                  <w:r>
                    <w:rPr>
                      <w:rFonts w:hint="eastAsia" w:ascii="Times New Roman" w:hAnsi="Times New Roman" w:eastAsia="宋体"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continue"/>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0.13</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0.08</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76" w:type="pct"/>
                  <w:vMerge w:val="restart"/>
                  <w:shd w:val="clear" w:color="auto" w:fill="auto"/>
                  <w:vAlign w:val="center"/>
                </w:tcPr>
                <w:p>
                  <w:pPr>
                    <w:keepNext w:val="0"/>
                    <w:keepLines w:val="0"/>
                    <w:pageBreakBefore w:val="0"/>
                    <w:widowControl/>
                    <w:wordWrap/>
                    <w:topLinePunct w:val="0"/>
                    <w:bidi w:val="0"/>
                    <w:spacing w:line="240" w:lineRule="auto"/>
                    <w:jc w:val="center"/>
                    <w:textAlignment w:val="center"/>
                    <w:rPr>
                      <w:rFonts w:ascii="Times New Roman" w:hAnsi="Times New Roman" w:eastAsia="宋体" w:cs="Times New Roman"/>
                      <w:szCs w:val="21"/>
                    </w:rPr>
                  </w:pPr>
                  <w:r>
                    <w:rPr>
                      <w:kern w:val="0"/>
                      <w:szCs w:val="21"/>
                      <w:lang w:bidi="ar"/>
                    </w:rPr>
                    <w:t>生活污水</w:t>
                  </w:r>
                  <w:r>
                    <w:rPr>
                      <w:rFonts w:hint="eastAsia" w:cs="Times New Roman"/>
                      <w:szCs w:val="21"/>
                      <w:lang w:val="en-US" w:eastAsia="zh-CN"/>
                    </w:rPr>
                    <w:t>12</w:t>
                  </w:r>
                  <w:r>
                    <w:rPr>
                      <w:rFonts w:hint="eastAsia" w:ascii="Times New Roman" w:hAnsi="Times New Roman" w:eastAsia="宋体" w:cs="Times New Roman"/>
                      <w:szCs w:val="21"/>
                      <w:lang w:val="en-US" w:eastAsia="zh-CN"/>
                    </w:rPr>
                    <w:t>00</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产生浓度</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hint="eastAsia"/>
                      <w:color w:val="auto"/>
                      <w:sz w:val="21"/>
                      <w:szCs w:val="21"/>
                      <w:lang w:val="en-US" w:eastAsia="zh-CN"/>
                    </w:rPr>
                    <w:t>2</w:t>
                  </w:r>
                  <w:r>
                    <w:rPr>
                      <w:rFonts w:hint="default"/>
                      <w:color w:val="auto"/>
                      <w:sz w:val="21"/>
                      <w:szCs w:val="21"/>
                      <w:lang w:val="en-US" w:eastAsia="zh-CN"/>
                    </w:rPr>
                    <w:t>50</w:t>
                  </w:r>
                </w:p>
              </w:tc>
              <w:tc>
                <w:tcPr>
                  <w:tcW w:w="500" w:type="pct"/>
                  <w:shd w:val="clear" w:color="auto" w:fill="auto"/>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ascii="Times New Roman" w:hAnsi="Times New Roman" w:eastAsia="宋体" w:cs="Times New Roman"/>
                      <w:szCs w:val="21"/>
                    </w:rPr>
                  </w:pPr>
                  <w:r>
                    <w:rPr>
                      <w:rFonts w:hint="eastAsia" w:cs="Times New Roman"/>
                      <w:color w:val="auto"/>
                      <w:sz w:val="21"/>
                      <w:szCs w:val="21"/>
                      <w:lang w:val="en-US" w:eastAsia="zh-CN"/>
                    </w:rPr>
                    <w:t>12</w:t>
                  </w:r>
                  <w:r>
                    <w:rPr>
                      <w:rFonts w:hint="default" w:ascii="Times New Roman" w:hAnsi="Times New Roman" w:eastAsia="宋体" w:cs="Times New Roman"/>
                      <w:color w:val="auto"/>
                      <w:sz w:val="21"/>
                      <w:szCs w:val="21"/>
                      <w:lang w:val="en-US" w:eastAsia="zh-CN"/>
                    </w:rPr>
                    <w:t>0</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hint="eastAsia" w:ascii="Times New Roman" w:hAnsi="Times New Roman" w:eastAsia="宋体" w:cs="Times New Roman"/>
                      <w:color w:val="auto"/>
                      <w:sz w:val="21"/>
                      <w:szCs w:val="21"/>
                      <w:lang w:val="en-US" w:eastAsia="zh-CN"/>
                    </w:rPr>
                    <w:t>2</w:t>
                  </w:r>
                  <w:r>
                    <w:rPr>
                      <w:rFonts w:hint="eastAsia"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0</w:t>
                  </w:r>
                </w:p>
              </w:tc>
              <w:tc>
                <w:tcPr>
                  <w:tcW w:w="553" w:type="pct"/>
                  <w:shd w:val="clear" w:color="auto" w:fill="auto"/>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hint="default" w:ascii="Times New Roman" w:hAnsi="Times New Roman" w:eastAsia="宋体" w:cs="Times New Roman"/>
                      <w:szCs w:val="21"/>
                      <w:lang w:val="en-US"/>
                    </w:rPr>
                  </w:pPr>
                  <w:r>
                    <w:rPr>
                      <w:rFonts w:hint="eastAsia" w:cs="Times New Roman"/>
                      <w:color w:val="auto"/>
                      <w:sz w:val="21"/>
                      <w:szCs w:val="21"/>
                      <w:lang w:val="en-US" w:eastAsia="zh-CN"/>
                    </w:rPr>
                    <w:t>25</w:t>
                  </w:r>
                </w:p>
              </w:tc>
              <w:tc>
                <w:tcPr>
                  <w:tcW w:w="745" w:type="pct"/>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top"/>
                    <w:rPr>
                      <w:rFonts w:hint="eastAsia" w:ascii="Times New Roman" w:hAnsi="Times New Roman" w:eastAsia="宋体" w:cs="Times New Roman"/>
                      <w:szCs w:val="21"/>
                      <w:lang w:val="en-US" w:eastAsia="zh-CN"/>
                    </w:rPr>
                  </w:pPr>
                  <w:r>
                    <w:rPr>
                      <w:rFonts w:hint="eastAsia" w:ascii="Times New Roman" w:hAnsi="Times New Roman" w:eastAsia="宋体" w:cs="Times New Roman"/>
                      <w:color w:val="auto"/>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continue"/>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0.3</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0.14</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0.24</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0.03</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restar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混合后</w:t>
                  </w:r>
                  <w:r>
                    <w:rPr>
                      <w:rFonts w:hint="eastAsia" w:cs="Times New Roman"/>
                      <w:szCs w:val="21"/>
                      <w:lang w:val="en-US" w:eastAsia="zh-CN"/>
                    </w:rPr>
                    <w:t>1734.6</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产生浓度</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247.90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80.71</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184.48</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17.30</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23.06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6" w:type="pct"/>
                  <w:vMerge w:val="continue"/>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p>
              </w:tc>
              <w:tc>
                <w:tcPr>
                  <w:tcW w:w="784"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合计产生量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0.43</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0.14</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0.32</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szCs w:val="21"/>
                      <w:lang w:val="en-US" w:eastAsia="zh-CN"/>
                    </w:rPr>
                    <w:t>0.03</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szCs w:val="21"/>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68" w:type="pct"/>
                  <w:gridSpan w:val="3"/>
                  <w:shd w:val="clear" w:color="auto" w:fill="auto"/>
                  <w:vAlign w:val="top"/>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预处理方法</w:t>
                  </w:r>
                </w:p>
              </w:tc>
              <w:tc>
                <w:tcPr>
                  <w:tcW w:w="2831" w:type="pct"/>
                  <w:gridSpan w:val="5"/>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hint="eastAsia" w:cs="Times New Roman"/>
                      <w:szCs w:val="21"/>
                      <w:lang w:val="en-US" w:eastAsia="zh-CN"/>
                    </w:rPr>
                    <w:t>地埋式污水处理设施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68" w:type="pct"/>
                  <w:gridSpan w:val="3"/>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处理效率（%）</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85</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65</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40</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bCs/>
                      <w:sz w:val="18"/>
                      <w:szCs w:val="18"/>
                      <w:lang w:val="en-US" w:eastAsia="zh-CN"/>
                    </w:rPr>
                    <w:t>66.7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处理后浓度值</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hint="default" w:ascii="Times New Roman" w:hAnsi="Times New Roman" w:eastAsia="宋体"/>
                      <w:color w:val="auto"/>
                      <w:sz w:val="21"/>
                      <w:szCs w:val="21"/>
                      <w:highlight w:val="none"/>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99.16</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12.11</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64.57</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10.38</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7.68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color w:val="auto"/>
                      <w:sz w:val="21"/>
                      <w:szCs w:val="21"/>
                      <w:highlight w:val="none"/>
                      <w:lang w:val="en-US" w:eastAsia="zh-CN"/>
                    </w:rPr>
                    <w:t>处理后排放量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olor w:val="auto"/>
                      <w:sz w:val="21"/>
                      <w:szCs w:val="21"/>
                      <w:highlight w:val="none"/>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0.17</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0.02</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0.11</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0.02</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kern w:val="0"/>
                      <w:szCs w:val="21"/>
                      <w:lang w:val="en-US" w:eastAsia="zh-CN" w:bidi="ar"/>
                    </w:rPr>
                  </w:pPr>
                  <w:r>
                    <w:rPr>
                      <w:rFonts w:hint="eastAsia" w:cs="Times New Roman"/>
                      <w:kern w:val="0"/>
                      <w:szCs w:val="21"/>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排放标准</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mg/L</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60</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20</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20</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8</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61" w:type="pct"/>
                  <w:gridSpan w:val="2"/>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排放量</w:t>
                  </w:r>
                </w:p>
              </w:tc>
              <w:tc>
                <w:tcPr>
                  <w:tcW w:w="507"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ascii="Times New Roman" w:hAnsi="Times New Roman" w:eastAsia="宋体" w:cs="Times New Roman"/>
                      <w:szCs w:val="21"/>
                    </w:rPr>
                  </w:pPr>
                  <w:r>
                    <w:rPr>
                      <w:rFonts w:ascii="Times New Roman" w:hAnsi="Times New Roman" w:eastAsia="宋体" w:cs="Times New Roman"/>
                      <w:szCs w:val="21"/>
                    </w:rPr>
                    <w:t>t/a</w:t>
                  </w:r>
                </w:p>
              </w:tc>
              <w:tc>
                <w:tcPr>
                  <w:tcW w:w="52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0.1</w:t>
                  </w:r>
                </w:p>
              </w:tc>
              <w:tc>
                <w:tcPr>
                  <w:tcW w:w="500"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0.03</w:t>
                  </w:r>
                </w:p>
              </w:tc>
              <w:tc>
                <w:tcPr>
                  <w:tcW w:w="511"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0.03</w:t>
                  </w:r>
                </w:p>
              </w:tc>
              <w:tc>
                <w:tcPr>
                  <w:tcW w:w="553" w:type="pct"/>
                  <w:shd w:val="clear" w:color="auto" w:fill="auto"/>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0.01</w:t>
                  </w:r>
                </w:p>
              </w:tc>
              <w:tc>
                <w:tcPr>
                  <w:tcW w:w="745" w:type="pct"/>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textAlignment w:val="center"/>
                    <w:rPr>
                      <w:rFonts w:hint="default" w:ascii="Times New Roman" w:hAnsi="Times New Roman" w:eastAsia="宋体" w:cs="Times New Roman"/>
                      <w:szCs w:val="21"/>
                      <w:lang w:val="en-US" w:eastAsia="zh-CN"/>
                    </w:rPr>
                  </w:pPr>
                  <w:r>
                    <w:rPr>
                      <w:rFonts w:hint="eastAsia" w:cs="Times New Roman"/>
                      <w:szCs w:val="21"/>
                      <w:lang w:val="en-US" w:eastAsia="zh-CN"/>
                    </w:rPr>
                    <w:t>0.005</w:t>
                  </w:r>
                </w:p>
              </w:tc>
            </w:tr>
          </w:tbl>
          <w:p>
            <w:pPr>
              <w:keepNext w:val="0"/>
              <w:keepLines w:val="0"/>
              <w:pageBreakBefore w:val="0"/>
              <w:widowControl/>
              <w:numPr>
                <w:ilvl w:val="0"/>
                <w:numId w:val="0"/>
              </w:numPr>
              <w:kinsoku/>
              <w:wordWrap/>
              <w:overflowPunct/>
              <w:topLinePunct w:val="0"/>
              <w:autoSpaceDE/>
              <w:autoSpaceDN/>
              <w:bidi w:val="0"/>
              <w:adjustRightInd/>
              <w:snapToGrid/>
              <w:spacing w:before="313" w:beforeLines="100" w:line="360" w:lineRule="auto"/>
              <w:ind w:firstLine="420" w:firstLineChars="200"/>
              <w:jc w:val="left"/>
              <w:textAlignment w:val="auto"/>
              <w:rPr>
                <w:rFonts w:hint="default" w:ascii="Times New Roman" w:hAnsi="Times New Roman" w:eastAsia="宋体" w:cs="Times New Roman"/>
                <w:szCs w:val="21"/>
                <w:lang w:val="en-US" w:eastAsia="zh-CN"/>
              </w:rPr>
            </w:pPr>
            <w:r>
              <w:rPr>
                <w:rFonts w:hint="eastAsia" w:cs="Times New Roman"/>
                <w:szCs w:val="21"/>
                <w:lang w:eastAsia="zh-CN"/>
              </w:rPr>
              <w:t>（</w:t>
            </w:r>
            <w:r>
              <w:rPr>
                <w:rFonts w:hint="eastAsia" w:cs="Times New Roman"/>
                <w:szCs w:val="21"/>
                <w:lang w:val="en-US" w:eastAsia="zh-CN"/>
              </w:rPr>
              <w:t>2</w:t>
            </w:r>
            <w:r>
              <w:rPr>
                <w:rFonts w:hint="eastAsia" w:cs="Times New Roman"/>
                <w:szCs w:val="21"/>
                <w:lang w:eastAsia="zh-CN"/>
              </w:rPr>
              <w:t>）</w:t>
            </w:r>
            <w:r>
              <w:rPr>
                <w:rFonts w:hint="eastAsia" w:cs="Times New Roman"/>
                <w:szCs w:val="21"/>
                <w:lang w:val="en-US" w:eastAsia="zh-CN"/>
              </w:rPr>
              <w:t>项目水平衡</w:t>
            </w:r>
          </w:p>
          <w:p>
            <w:pPr>
              <w:pStyle w:val="54"/>
              <w:spacing w:line="360" w:lineRule="auto"/>
              <w:ind w:firstLine="0" w:firstLineChars="0"/>
              <w:jc w:val="center"/>
              <w:rPr>
                <w:rFonts w:hint="default" w:ascii="Times New Roman" w:hAnsi="Times New Roman" w:cs="Times New Roman"/>
                <w:szCs w:val="21"/>
              </w:rPr>
            </w:pPr>
            <w:r>
              <w:rPr>
                <w:rFonts w:hint="default" w:ascii="Times New Roman" w:hAnsi="Times New Roman" w:cs="Times New Roman"/>
                <w:szCs w:val="21"/>
              </w:rPr>
              <w:object>
                <v:shape id="_x0000_i1028" o:spt="75" type="#_x0000_t75" style="height:128.4pt;width:396.5pt;" o:ole="t" filled="f" o:preferrelative="t" stroked="f" coordsize="21600,21600">
                  <v:path/>
                  <v:fill on="f" focussize="0,0"/>
                  <v:stroke on="f"/>
                  <v:imagedata r:id="rId17" o:title=""/>
                  <o:lock v:ext="edit" aspectratio="f"/>
                  <w10:wrap type="none"/>
                  <w10:anchorlock/>
                </v:shape>
                <o:OLEObject Type="Embed" ProgID="Visio.Drawing.11" ShapeID="_x0000_i1028" DrawAspect="Content" ObjectID="_1468075728" r:id="rId16">
                  <o:LockedField>false</o:LockedField>
                </o:OLEObject>
              </w:object>
            </w:r>
          </w:p>
          <w:p>
            <w:pPr>
              <w:pStyle w:val="54"/>
              <w:spacing w:line="360" w:lineRule="auto"/>
              <w:ind w:firstLine="0" w:firstLineChars="0"/>
              <w:jc w:val="center"/>
              <w:rPr>
                <w:rFonts w:ascii="Times New Roman" w:hAnsi="Times New Roman"/>
                <w:b/>
                <w:bCs/>
                <w:sz w:val="21"/>
                <w:szCs w:val="21"/>
              </w:rPr>
            </w:pPr>
            <w:r>
              <w:rPr>
                <w:rFonts w:ascii="Times New Roman" w:hAnsi="Times New Roman"/>
                <w:b/>
                <w:bCs/>
                <w:sz w:val="21"/>
                <w:szCs w:val="21"/>
              </w:rPr>
              <w:t>图</w:t>
            </w:r>
            <w:r>
              <w:rPr>
                <w:rFonts w:hint="eastAsia" w:ascii="Times New Roman" w:hAnsi="Times New Roman"/>
                <w:b/>
                <w:bCs/>
                <w:sz w:val="21"/>
                <w:szCs w:val="21"/>
                <w:lang w:val="en-US" w:eastAsia="zh-CN"/>
              </w:rPr>
              <w:t>4</w:t>
            </w:r>
            <w:r>
              <w:rPr>
                <w:rFonts w:ascii="Times New Roman" w:hAnsi="Times New Roman"/>
                <w:b/>
                <w:bCs/>
                <w:sz w:val="21"/>
                <w:szCs w:val="21"/>
              </w:rPr>
              <w:t>-1 水平衡图（单位：m</w:t>
            </w:r>
            <w:r>
              <w:rPr>
                <w:rFonts w:ascii="Times New Roman" w:hAnsi="Times New Roman"/>
                <w:b/>
                <w:bCs/>
                <w:sz w:val="21"/>
                <w:szCs w:val="21"/>
                <w:vertAlign w:val="superscript"/>
              </w:rPr>
              <w:t>3</w:t>
            </w:r>
            <w:r>
              <w:rPr>
                <w:rFonts w:ascii="Times New Roman" w:hAnsi="Times New Roman"/>
                <w:b/>
                <w:bCs/>
                <w:sz w:val="21"/>
                <w:szCs w:val="21"/>
              </w:rPr>
              <w:t>/</w:t>
            </w:r>
            <w:r>
              <w:rPr>
                <w:rFonts w:hint="eastAsia" w:ascii="Times New Roman" w:hAnsi="Times New Roman"/>
                <w:b/>
                <w:bCs/>
                <w:sz w:val="21"/>
                <w:szCs w:val="21"/>
                <w:lang w:val="en-US" w:eastAsia="zh-CN"/>
              </w:rPr>
              <w:t>a</w:t>
            </w:r>
            <w:r>
              <w:rPr>
                <w:rFonts w:ascii="Times New Roman" w:hAnsi="Times New Roman"/>
                <w:b/>
                <w:bCs/>
                <w:sz w:val="21"/>
                <w:szCs w:val="21"/>
              </w:rPr>
              <w:t>）</w:t>
            </w:r>
          </w:p>
          <w:p>
            <w:pPr>
              <w:widowControl/>
              <w:spacing w:line="360" w:lineRule="auto"/>
              <w:ind w:firstLine="480"/>
              <w:rPr>
                <w:rFonts w:ascii="Times New Roman" w:hAnsi="Times New Roman" w:eastAsia="宋体" w:cs="Times New Roman"/>
                <w:b w:val="0"/>
                <w:bCs w:val="0"/>
                <w:color w:val="FF0000"/>
                <w:sz w:val="24"/>
                <w:szCs w:val="24"/>
              </w:rPr>
            </w:pPr>
            <w:r>
              <w:rPr>
                <w:rFonts w:hint="eastAsia" w:cs="Times New Roman"/>
                <w:b w:val="0"/>
                <w:bCs w:val="0"/>
                <w:color w:val="FF0000"/>
                <w:sz w:val="24"/>
                <w:szCs w:val="24"/>
                <w:lang w:eastAsia="zh-CN"/>
              </w:rPr>
              <w:t>（</w:t>
            </w:r>
            <w:r>
              <w:rPr>
                <w:rFonts w:hint="eastAsia" w:cs="Times New Roman"/>
                <w:b w:val="0"/>
                <w:bCs w:val="0"/>
                <w:color w:val="FF0000"/>
                <w:sz w:val="24"/>
                <w:szCs w:val="24"/>
                <w:lang w:val="en-US" w:eastAsia="zh-CN"/>
              </w:rPr>
              <w:t>3</w:t>
            </w:r>
            <w:r>
              <w:rPr>
                <w:rFonts w:hint="eastAsia" w:cs="Times New Roman"/>
                <w:b w:val="0"/>
                <w:bCs w:val="0"/>
                <w:color w:val="FF0000"/>
                <w:sz w:val="24"/>
                <w:szCs w:val="24"/>
                <w:lang w:eastAsia="zh-CN"/>
              </w:rPr>
              <w:t>）</w:t>
            </w:r>
            <w:r>
              <w:rPr>
                <w:rFonts w:ascii="Times New Roman" w:hAnsi="Times New Roman" w:eastAsia="宋体" w:cs="Times New Roman"/>
                <w:b w:val="0"/>
                <w:bCs w:val="0"/>
                <w:color w:val="FF0000"/>
                <w:sz w:val="24"/>
                <w:szCs w:val="24"/>
              </w:rPr>
              <w:t>废水治理措施及达标可行性分析</w:t>
            </w:r>
          </w:p>
          <w:p>
            <w:pPr>
              <w:pStyle w:val="5"/>
              <w:suppressLineNumbers w:val="0"/>
              <w:spacing w:before="0" w:beforeAutospacing="0" w:after="0" w:afterAutospacing="0"/>
              <w:ind w:left="0" w:right="0" w:firstLine="480" w:firstLineChars="200"/>
              <w:jc w:val="both"/>
              <w:rPr>
                <w:rFonts w:hint="default" w:ascii="Times New Roman" w:hAnsi="Times New Roman" w:eastAsia="宋体" w:cs="Times New Roman"/>
                <w:b w:val="0"/>
                <w:bCs w:val="0"/>
                <w:color w:val="FF0000"/>
                <w:kern w:val="2"/>
                <w:sz w:val="24"/>
                <w:szCs w:val="24"/>
                <w:lang w:val="en-US" w:eastAsia="zh-CN" w:bidi="ar-SA"/>
              </w:rPr>
            </w:pPr>
            <w:r>
              <w:rPr>
                <w:rFonts w:hint="default" w:ascii="Times New Roman" w:hAnsi="Times New Roman" w:eastAsia="宋体" w:cs="Times New Roman"/>
                <w:b w:val="0"/>
                <w:bCs w:val="0"/>
                <w:color w:val="FF0000"/>
                <w:kern w:val="2"/>
                <w:sz w:val="24"/>
                <w:szCs w:val="24"/>
                <w:lang w:val="en-US" w:eastAsia="zh-CN" w:bidi="ar-SA"/>
              </w:rPr>
              <w:t>根据“《排污许可证申请与核发技术规范 总则》（HJ 942-2018）中4.5.3.1”，废水污染治理工艺分为一级处理</w:t>
            </w:r>
            <w:r>
              <w:rPr>
                <w:rFonts w:hint="eastAsia" w:cs="Times New Roman"/>
                <w:b w:val="0"/>
                <w:bCs w:val="0"/>
                <w:color w:val="FF0000"/>
                <w:kern w:val="2"/>
                <w:sz w:val="24"/>
                <w:szCs w:val="24"/>
                <w:lang w:val="en-US" w:eastAsia="zh-CN" w:bidi="ar-SA"/>
              </w:rPr>
              <w:t>（</w:t>
            </w:r>
            <w:r>
              <w:rPr>
                <w:rFonts w:hint="default" w:ascii="Times New Roman" w:hAnsi="Times New Roman" w:eastAsia="宋体" w:cs="Times New Roman"/>
                <w:b w:val="0"/>
                <w:bCs w:val="0"/>
                <w:color w:val="FF0000"/>
                <w:kern w:val="2"/>
                <w:sz w:val="24"/>
                <w:szCs w:val="24"/>
                <w:lang w:val="en-US" w:eastAsia="zh-CN" w:bidi="ar-SA"/>
              </w:rPr>
              <w:t>过滤、沉淀、气浮、其他</w:t>
            </w:r>
            <w:r>
              <w:rPr>
                <w:rFonts w:hint="eastAsia" w:cs="Times New Roman"/>
                <w:b w:val="0"/>
                <w:bCs w:val="0"/>
                <w:color w:val="FF0000"/>
                <w:kern w:val="2"/>
                <w:sz w:val="24"/>
                <w:szCs w:val="24"/>
                <w:lang w:val="en-US" w:eastAsia="zh-CN" w:bidi="ar-SA"/>
              </w:rPr>
              <w:t>）</w:t>
            </w:r>
            <w:r>
              <w:rPr>
                <w:rFonts w:hint="default" w:ascii="Times New Roman" w:hAnsi="Times New Roman" w:eastAsia="宋体" w:cs="Times New Roman"/>
                <w:b w:val="0"/>
                <w:bCs w:val="0"/>
                <w:color w:val="FF0000"/>
                <w:kern w:val="2"/>
                <w:sz w:val="24"/>
                <w:szCs w:val="24"/>
                <w:lang w:val="en-US" w:eastAsia="zh-CN" w:bidi="ar-SA"/>
              </w:rPr>
              <w:t>，二级处理(A/O、A</w:t>
            </w:r>
            <w:r>
              <w:rPr>
                <w:rFonts w:hint="default" w:ascii="Times New Roman" w:hAnsi="Times New Roman" w:eastAsia="宋体" w:cs="Times New Roman"/>
                <w:b w:val="0"/>
                <w:bCs w:val="0"/>
                <w:color w:val="FF0000"/>
                <w:kern w:val="2"/>
                <w:sz w:val="24"/>
                <w:szCs w:val="24"/>
                <w:vertAlign w:val="superscript"/>
                <w:lang w:val="en-US" w:eastAsia="zh-CN" w:bidi="ar-SA"/>
              </w:rPr>
              <w:t>2</w:t>
            </w:r>
            <w:r>
              <w:rPr>
                <w:rFonts w:hint="default" w:ascii="Times New Roman" w:hAnsi="Times New Roman" w:eastAsia="宋体" w:cs="Times New Roman"/>
                <w:b w:val="0"/>
                <w:bCs w:val="0"/>
                <w:color w:val="FF0000"/>
                <w:kern w:val="2"/>
                <w:sz w:val="24"/>
                <w:szCs w:val="24"/>
                <w:lang w:val="en-US" w:eastAsia="zh-CN" w:bidi="ar-SA"/>
              </w:rPr>
              <w:t>/O、SBR、活性污泥法、生物接触氧化、其他）、深度处理（超滤/纳滤、反渗透、吸附过滤、蒸发结晶、其他)、其他。</w:t>
            </w:r>
          </w:p>
          <w:p>
            <w:pPr>
              <w:pStyle w:val="5"/>
              <w:suppressLineNumbers w:val="0"/>
              <w:spacing w:before="0" w:beforeAutospacing="0" w:after="0" w:afterAutospacing="0"/>
              <w:ind w:left="0" w:right="0" w:firstLine="480" w:firstLineChars="200"/>
              <w:jc w:val="both"/>
              <w:rPr>
                <w:rFonts w:hint="eastAsia"/>
                <w:b w:val="0"/>
                <w:bCs w:val="0"/>
                <w:color w:val="FF0000"/>
                <w:sz w:val="24"/>
                <w:highlight w:val="none"/>
                <w:lang w:eastAsia="zh-CN"/>
              </w:rPr>
            </w:pPr>
            <w:r>
              <w:rPr>
                <w:rFonts w:hint="eastAsia"/>
                <w:b w:val="0"/>
                <w:bCs w:val="0"/>
                <w:color w:val="FF0000"/>
                <w:sz w:val="24"/>
                <w:highlight w:val="none"/>
                <w:lang w:eastAsia="zh-CN"/>
              </w:rPr>
              <w:t>本项目</w:t>
            </w:r>
            <w:r>
              <w:rPr>
                <w:rFonts w:hint="eastAsia"/>
                <w:b w:val="0"/>
                <w:bCs w:val="0"/>
                <w:color w:val="FF0000"/>
                <w:sz w:val="24"/>
                <w:highlight w:val="none"/>
                <w:lang w:val="en-US" w:eastAsia="zh-CN"/>
              </w:rPr>
              <w:t>废水</w:t>
            </w:r>
            <w:r>
              <w:rPr>
                <w:rFonts w:hint="eastAsia"/>
                <w:b w:val="0"/>
                <w:bCs w:val="0"/>
                <w:color w:val="FF0000"/>
                <w:sz w:val="24"/>
                <w:highlight w:val="none"/>
                <w:lang w:eastAsia="zh-CN"/>
              </w:rPr>
              <w:t>经</w:t>
            </w:r>
            <w:r>
              <w:rPr>
                <w:rFonts w:hint="eastAsia"/>
                <w:b w:val="0"/>
                <w:bCs w:val="0"/>
                <w:color w:val="FF0000"/>
                <w:sz w:val="24"/>
                <w:highlight w:val="none"/>
                <w:lang w:val="en-US" w:eastAsia="zh-CN"/>
              </w:rPr>
              <w:t>地埋式污水处理设施</w:t>
            </w:r>
            <w:r>
              <w:rPr>
                <w:rFonts w:hint="eastAsia"/>
                <w:b w:val="0"/>
                <w:bCs w:val="0"/>
                <w:color w:val="FF0000"/>
                <w:sz w:val="24"/>
                <w:highlight w:val="none"/>
                <w:lang w:eastAsia="zh-CN"/>
              </w:rPr>
              <w:t>预处理，地埋式污水处理设备是一种模块化的高效污水生物处理设备，是一种以生物膜为净化主体的污水生物处理系统，充分发挥了厌氧生物滤池、接触氧化床等生物膜反应器具有的生物密度大、耐污能力强、动力消耗低、操作运行稳定、维护方便的特点。</w:t>
            </w:r>
          </w:p>
          <w:p>
            <w:pPr>
              <w:widowControl/>
              <w:spacing w:line="360" w:lineRule="auto"/>
              <w:ind w:firstLine="480"/>
              <w:rPr>
                <w:rFonts w:hint="default" w:ascii="Times New Roman" w:hAnsi="Times New Roman" w:eastAsia="宋体" w:cs="Times New Roman"/>
                <w:color w:val="FF0000"/>
                <w:sz w:val="24"/>
                <w:szCs w:val="32"/>
              </w:rPr>
            </w:pPr>
            <w:r>
              <w:rPr>
                <w:rFonts w:hint="eastAsia"/>
                <w:b w:val="0"/>
                <w:bCs w:val="0"/>
                <w:color w:val="FF0000"/>
                <w:sz w:val="24"/>
                <w:highlight w:val="none"/>
                <w:lang w:eastAsia="zh-CN"/>
              </w:rPr>
              <w:t>本项目污水处理设施</w:t>
            </w:r>
            <w:r>
              <w:rPr>
                <w:rFonts w:hint="eastAsia"/>
                <w:b w:val="0"/>
                <w:bCs w:val="0"/>
                <w:color w:val="FF0000"/>
                <w:sz w:val="24"/>
                <w:highlight w:val="none"/>
                <w:lang w:val="en-US" w:eastAsia="zh-CN"/>
              </w:rPr>
              <w:t>对</w:t>
            </w:r>
            <w:r>
              <w:rPr>
                <w:rFonts w:hint="default"/>
                <w:color w:val="FF0000"/>
                <w:sz w:val="24"/>
                <w:szCs w:val="32"/>
                <w:lang w:val="en-US" w:eastAsia="zh-CN"/>
              </w:rPr>
              <w:t>COD、BOD、SS、氨氮</w:t>
            </w:r>
            <w:r>
              <w:rPr>
                <w:rFonts w:hint="eastAsia"/>
                <w:color w:val="FF0000"/>
                <w:sz w:val="24"/>
                <w:szCs w:val="32"/>
                <w:lang w:val="en-US" w:eastAsia="zh-CN"/>
              </w:rPr>
              <w:t>、动植物油</w:t>
            </w:r>
            <w:r>
              <w:rPr>
                <w:rFonts w:hint="eastAsia"/>
                <w:b w:val="0"/>
                <w:bCs w:val="0"/>
                <w:color w:val="FF0000"/>
                <w:sz w:val="24"/>
                <w:highlight w:val="none"/>
                <w:lang w:val="en-US" w:eastAsia="zh-CN"/>
              </w:rPr>
              <w:t>的处理效率分别为60%、85%、65%、40%、66.7%，经预处理后的污水均能达到污水纳管标准，可达标排放</w:t>
            </w:r>
            <w:r>
              <w:rPr>
                <w:rFonts w:hint="eastAsia"/>
                <w:b w:val="0"/>
                <w:bCs w:val="0"/>
                <w:color w:val="FF0000"/>
                <w:sz w:val="24"/>
                <w:highlight w:val="none"/>
                <w:lang w:eastAsia="zh-CN"/>
              </w:rPr>
              <w:t>；</w:t>
            </w:r>
            <w:r>
              <w:rPr>
                <w:rFonts w:hint="eastAsia"/>
                <w:b w:val="0"/>
                <w:bCs w:val="0"/>
                <w:color w:val="FF0000"/>
                <w:sz w:val="24"/>
                <w:highlight w:val="none"/>
                <w:lang w:val="en-US" w:eastAsia="zh-CN"/>
              </w:rPr>
              <w:t>地埋式污水处理设施处理工艺为MBR处理工艺，属于</w:t>
            </w:r>
            <w:r>
              <w:rPr>
                <w:rFonts w:hint="eastAsia"/>
                <w:b w:val="0"/>
                <w:bCs w:val="0"/>
                <w:color w:val="FF0000"/>
                <w:sz w:val="24"/>
                <w:highlight w:val="none"/>
                <w:lang w:eastAsia="zh-CN"/>
              </w:rPr>
              <w:t>《排污许可证申请与核发技术规范 总则》（HJ942-2018）所列的可行技术，符合规范</w:t>
            </w:r>
            <w:r>
              <w:rPr>
                <w:rFonts w:hint="default" w:ascii="Times New Roman" w:hAnsi="Times New Roman" w:eastAsia="宋体" w:cs="Times New Roman"/>
                <w:color w:val="FF0000"/>
                <w:sz w:val="24"/>
                <w:szCs w:val="32"/>
              </w:rPr>
              <w:t>。</w:t>
            </w:r>
          </w:p>
          <w:p>
            <w:pPr>
              <w:pStyle w:val="2"/>
              <w:ind w:firstLine="480" w:firstLineChars="200"/>
              <w:rPr>
                <w:rFonts w:hint="eastAsia" w:eastAsia="宋体"/>
                <w:b w:val="0"/>
                <w:bCs w:val="0"/>
                <w:color w:val="FF0000"/>
                <w:lang w:val="en-US" w:eastAsia="zh-CN"/>
              </w:rPr>
            </w:pPr>
            <w:r>
              <w:rPr>
                <w:rFonts w:hint="eastAsia" w:cs="Times New Roman"/>
                <w:b w:val="0"/>
                <w:bCs w:val="0"/>
                <w:color w:val="FF0000"/>
                <w:sz w:val="24"/>
                <w:szCs w:val="32"/>
                <w:lang w:val="en-US" w:eastAsia="zh-CN"/>
              </w:rPr>
              <w:t>综上，项目</w:t>
            </w:r>
            <w:r>
              <w:rPr>
                <w:rFonts w:ascii="Times New Roman" w:hAnsi="Times New Roman" w:eastAsia="宋体" w:cs="Times New Roman"/>
                <w:b w:val="0"/>
                <w:bCs w:val="0"/>
                <w:color w:val="FF0000"/>
                <w:sz w:val="24"/>
                <w:szCs w:val="24"/>
              </w:rPr>
              <w:t>废水治理措施可行</w:t>
            </w:r>
            <w:r>
              <w:rPr>
                <w:rFonts w:hint="eastAsia" w:ascii="Times New Roman" w:hAnsi="Times New Roman" w:eastAsia="宋体" w:cs="Times New Roman"/>
                <w:b w:val="0"/>
                <w:bCs w:val="0"/>
                <w:color w:val="FF0000"/>
                <w:sz w:val="24"/>
                <w:szCs w:val="24"/>
                <w:lang w:eastAsia="zh-CN"/>
              </w:rPr>
              <w:t>。</w:t>
            </w:r>
          </w:p>
          <w:p>
            <w:pPr>
              <w:pStyle w:val="36"/>
              <w:keepNext w:val="0"/>
              <w:keepLines w:val="0"/>
              <w:pageBreakBefore w:val="0"/>
              <w:widowControl w:val="0"/>
              <w:kinsoku/>
              <w:wordWrap/>
              <w:overflowPunct/>
              <w:topLinePunct w:val="0"/>
              <w:bidi w:val="0"/>
              <w:adjustRightInd/>
              <w:snapToGrid/>
              <w:spacing w:before="0" w:after="0" w:line="360" w:lineRule="auto"/>
              <w:ind w:firstLine="480" w:firstLineChars="200"/>
              <w:textAlignment w:val="auto"/>
              <w:rPr>
                <w:rFonts w:hint="default"/>
                <w:color w:val="FF0000"/>
                <w:lang w:val="en-US" w:eastAsia="zh-CN"/>
              </w:rPr>
            </w:pPr>
            <w:r>
              <w:rPr>
                <w:rFonts w:hint="default"/>
                <w:color w:val="FF0000"/>
                <w:lang w:val="en-US" w:eastAsia="zh-CN"/>
              </w:rPr>
              <w:t>（4）污水处理厂依托可行性分析</w:t>
            </w:r>
          </w:p>
          <w:p>
            <w:pPr>
              <w:pStyle w:val="36"/>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default" w:ascii="Times New Roman" w:hAnsi="Times New Roman" w:cs="Times New Roman"/>
                <w:color w:val="FF0000"/>
                <w:lang w:val="en-US" w:eastAsia="zh-CN"/>
              </w:rPr>
            </w:pPr>
            <w:r>
              <w:rPr>
                <w:rFonts w:ascii="Times New Roman" w:hAnsi="Times New Roman" w:eastAsia="宋体" w:cs="Times New Roman"/>
                <w:color w:val="FF0000"/>
                <w:sz w:val="24"/>
                <w:szCs w:val="24"/>
              </w:rPr>
              <w:t>本项目属于上饶经济技术开发区污水处理厂收集服务范围，</w:t>
            </w:r>
            <w:r>
              <w:rPr>
                <w:rFonts w:hint="eastAsia" w:ascii="Times New Roman" w:hAnsi="Times New Roman" w:eastAsia="宋体" w:cs="Times New Roman"/>
                <w:color w:val="FF0000"/>
                <w:sz w:val="24"/>
                <w:szCs w:val="24"/>
                <w:lang w:val="en-US" w:eastAsia="zh-CN"/>
              </w:rPr>
              <w:t>管网已铺设完工，</w:t>
            </w:r>
            <w:r>
              <w:rPr>
                <w:rFonts w:ascii="Times New Roman" w:hAnsi="Times New Roman" w:eastAsia="宋体" w:cs="Times New Roman"/>
                <w:color w:val="FF0000"/>
                <w:sz w:val="24"/>
                <w:szCs w:val="24"/>
              </w:rPr>
              <w:t>本项目实施后企业污水可实现纳管进行集中达标处理。</w:t>
            </w:r>
            <w:r>
              <w:rPr>
                <w:rFonts w:hint="default" w:ascii="Times New Roman" w:hAnsi="Times New Roman" w:cs="Times New Roman"/>
                <w:color w:val="FF0000"/>
                <w:lang w:val="en-US" w:eastAsia="zh-CN"/>
              </w:rPr>
              <w:t>企业污水经</w:t>
            </w:r>
            <w:r>
              <w:rPr>
                <w:rFonts w:hint="eastAsia" w:ascii="Times New Roman" w:hAnsi="Times New Roman" w:cs="Times New Roman"/>
                <w:color w:val="FF0000"/>
                <w:lang w:val="en-US" w:eastAsia="zh-CN"/>
              </w:rPr>
              <w:t>地埋式污水处理设施</w:t>
            </w:r>
            <w:r>
              <w:rPr>
                <w:rFonts w:hint="default" w:ascii="Times New Roman" w:hAnsi="Times New Roman" w:cs="Times New Roman"/>
                <w:color w:val="FF0000"/>
                <w:lang w:val="en-US" w:eastAsia="zh-CN"/>
              </w:rPr>
              <w:t>预处理后接管至上饶经济技术开发区污水处理厂处理，尾水排入信江，尾水排放执行《城镇污水处理厂污染物排放标准》（GB18918-2002）表1中一级B标准。</w:t>
            </w:r>
          </w:p>
          <w:p>
            <w:pPr>
              <w:pStyle w:val="36"/>
              <w:keepNext w:val="0"/>
              <w:keepLines w:val="0"/>
              <w:pageBreakBefore w:val="0"/>
              <w:widowControl w:val="0"/>
              <w:kinsoku/>
              <w:wordWrap/>
              <w:overflowPunct/>
              <w:topLinePunct w:val="0"/>
              <w:autoSpaceDE w:val="0"/>
              <w:autoSpaceDN w:val="0"/>
              <w:bidi w:val="0"/>
              <w:adjustRightInd w:val="0"/>
              <w:snapToGrid/>
              <w:spacing w:before="0" w:after="0"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上饶经济技术开发区污水处理厂位于上饶经济开发区董团乡仙山村上麻棚，出水水质要求达到《城镇污水处理厂污染物排放标准》（GB18918-2002）中一级B标准。污水处理厂投产于2016年，设计处理规模8万吨/天，接纳上饶经济技术开发区的生活污水和生产废水。</w:t>
            </w:r>
            <w:r>
              <w:rPr>
                <w:rFonts w:hint="default"/>
                <w:lang w:val="en-US" w:eastAsia="zh-CN"/>
              </w:rPr>
              <w:t>根据《上饶经济技术开发区污水处理厂（一期4万立方米/日）建设项目》竣工环境保护验收监测报告，目前上饶经济技术开发区污水处理厂已建成污水管网，</w:t>
            </w:r>
            <w:r>
              <w:rPr>
                <w:rFonts w:hint="default" w:ascii="Times New Roman" w:hAnsi="Times New Roman" w:cs="Times New Roman"/>
                <w:lang w:val="en-US" w:eastAsia="zh-CN"/>
              </w:rPr>
              <w:t>处理规模4万m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/d（已接纳24589m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/d，余量为15411m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/d）。污水处理工艺采用预处理+化学絮凝沉淀+二级生化处理+消毒工艺，出水水质可达到《城镇污水处理厂污染物排放标准》（GB18918 -2002）一级B标准后重力自流方式排入信江。</w:t>
            </w:r>
          </w:p>
          <w:p>
            <w:pPr>
              <w:widowControl/>
              <w:numPr>
                <w:ilvl w:val="0"/>
                <w:numId w:val="0"/>
              </w:numPr>
              <w:spacing w:line="360" w:lineRule="auto"/>
              <w:ind w:firstLine="480" w:firstLineChars="200"/>
              <w:jc w:val="left"/>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cs="Times New Roman"/>
                <w:color w:val="000000"/>
                <w:kern w:val="0"/>
                <w:sz w:val="24"/>
                <w:szCs w:val="24"/>
                <w:lang w:val="en-US" w:eastAsia="zh-CN" w:bidi="ar-SA"/>
              </w:rPr>
              <w:t>本</w:t>
            </w:r>
            <w:r>
              <w:rPr>
                <w:rFonts w:hint="default" w:ascii="Times New Roman" w:hAnsi="Times New Roman" w:eastAsia="宋体" w:cs="Times New Roman"/>
                <w:color w:val="000000"/>
                <w:kern w:val="0"/>
                <w:sz w:val="24"/>
                <w:szCs w:val="24"/>
                <w:lang w:val="en-US" w:eastAsia="zh-CN" w:bidi="ar-SA"/>
              </w:rPr>
              <w:t>项目外排废水量为</w:t>
            </w:r>
            <w:r>
              <w:rPr>
                <w:rFonts w:hint="eastAsia" w:cs="Times New Roman"/>
                <w:color w:val="000000"/>
                <w:kern w:val="0"/>
                <w:sz w:val="24"/>
                <w:szCs w:val="24"/>
                <w:lang w:val="en-US" w:eastAsia="zh-CN" w:bidi="ar-SA"/>
              </w:rPr>
              <w:t>5.78</w:t>
            </w:r>
            <w:r>
              <w:rPr>
                <w:rFonts w:hint="default" w:ascii="Times New Roman" w:hAnsi="Times New Roman" w:eastAsia="宋体" w:cs="Times New Roman"/>
                <w:color w:val="000000"/>
                <w:kern w:val="0"/>
                <w:sz w:val="24"/>
                <w:szCs w:val="24"/>
                <w:lang w:val="en-US" w:eastAsia="zh-CN" w:bidi="ar-SA"/>
              </w:rPr>
              <w:t>t/d，约占工业园污水处理厂处理能力的</w:t>
            </w:r>
            <w:r>
              <w:rPr>
                <w:rFonts w:hint="eastAsia" w:ascii="Times New Roman" w:hAnsi="Times New Roman" w:cs="Times New Roman"/>
                <w:color w:val="000000"/>
                <w:kern w:val="0"/>
                <w:sz w:val="24"/>
                <w:szCs w:val="24"/>
                <w:lang w:val="en-US" w:eastAsia="zh-CN" w:bidi="ar-SA"/>
              </w:rPr>
              <w:t>0.0</w:t>
            </w:r>
            <w:r>
              <w:rPr>
                <w:rFonts w:hint="eastAsia" w:cs="Times New Roman"/>
                <w:color w:val="000000"/>
                <w:kern w:val="0"/>
                <w:sz w:val="24"/>
                <w:szCs w:val="24"/>
                <w:lang w:val="en-US" w:eastAsia="zh-CN" w:bidi="ar-SA"/>
              </w:rPr>
              <w:t>1</w:t>
            </w:r>
            <w:r>
              <w:rPr>
                <w:rFonts w:hint="default" w:ascii="Times New Roman" w:hAnsi="Times New Roman" w:eastAsia="宋体" w:cs="Times New Roman"/>
                <w:color w:val="000000"/>
                <w:kern w:val="0"/>
                <w:sz w:val="24"/>
                <w:szCs w:val="24"/>
                <w:lang w:val="en-US" w:eastAsia="zh-CN" w:bidi="ar-SA"/>
              </w:rPr>
              <w:t>%，且本项目外排废水水质较为简单，经厂内</w:t>
            </w:r>
            <w:r>
              <w:rPr>
                <w:rFonts w:hint="eastAsia" w:cs="Times New Roman"/>
                <w:color w:val="000000"/>
                <w:kern w:val="0"/>
                <w:sz w:val="24"/>
                <w:szCs w:val="24"/>
                <w:lang w:val="en-US" w:eastAsia="zh-CN" w:bidi="ar-SA"/>
              </w:rPr>
              <w:t>地埋式污水处理设施</w:t>
            </w:r>
            <w:r>
              <w:rPr>
                <w:rFonts w:hint="default" w:ascii="Times New Roman" w:hAnsi="Times New Roman" w:eastAsia="宋体" w:cs="Times New Roman"/>
                <w:color w:val="000000"/>
                <w:kern w:val="0"/>
                <w:sz w:val="24"/>
                <w:szCs w:val="24"/>
                <w:lang w:val="en-US" w:eastAsia="zh-CN" w:bidi="ar-SA"/>
              </w:rPr>
              <w:t>预处理后，外排废水各项污染物可满足污水处理厂的接管要求，对污水处理厂的负荷冲击非常小，污水处理厂完全可以接纳本项目污水水量。因此，本项目废水接管上饶经济技术开发区污水处理厂可行，外排的废水不会对上饶经济技术开发区污水处理厂的正常运行造成冲击影响。</w:t>
            </w:r>
          </w:p>
          <w:p>
            <w:pPr>
              <w:widowControl/>
              <w:numPr>
                <w:ilvl w:val="0"/>
                <w:numId w:val="0"/>
              </w:numPr>
              <w:spacing w:line="360" w:lineRule="auto"/>
              <w:ind w:firstLine="480" w:firstLineChars="200"/>
              <w:jc w:val="left"/>
              <w:rPr>
                <w:rFonts w:hint="eastAsia" w:eastAsia="宋体"/>
                <w:sz w:val="24"/>
                <w:szCs w:val="32"/>
                <w:lang w:val="en-US" w:eastAsia="zh-CN"/>
              </w:rPr>
            </w:pPr>
            <w:r>
              <w:rPr>
                <w:rFonts w:hint="eastAsia"/>
                <w:sz w:val="24"/>
                <w:szCs w:val="32"/>
                <w:lang w:val="en-US" w:eastAsia="zh-CN"/>
              </w:rPr>
              <w:t>（5）</w:t>
            </w:r>
            <w:r>
              <w:rPr>
                <w:sz w:val="24"/>
              </w:rPr>
              <w:t>废水污染物排放基本情况</w:t>
            </w:r>
          </w:p>
          <w:p>
            <w:pPr>
              <w:widowControl/>
              <w:spacing w:line="360" w:lineRule="auto"/>
              <w:ind w:firstLine="480"/>
              <w:rPr>
                <w:rFonts w:hint="default"/>
                <w:sz w:val="24"/>
                <w:szCs w:val="32"/>
              </w:rPr>
            </w:pPr>
            <w:r>
              <w:rPr>
                <w:rFonts w:hint="default"/>
                <w:sz w:val="24"/>
                <w:szCs w:val="32"/>
              </w:rPr>
              <w:t>本项目废水类别、污染物及污染治理设施信息</w:t>
            </w:r>
            <w:r>
              <w:rPr>
                <w:rFonts w:hint="default"/>
                <w:sz w:val="24"/>
                <w:szCs w:val="32"/>
                <w:lang w:eastAsia="zh-CN"/>
              </w:rPr>
              <w:t>见</w:t>
            </w:r>
            <w:r>
              <w:rPr>
                <w:rFonts w:hint="default"/>
                <w:sz w:val="24"/>
                <w:szCs w:val="32"/>
              </w:rPr>
              <w:t>下表。</w:t>
            </w: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b/>
                <w:bCs/>
              </w:rPr>
            </w:pP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b/>
                <w:bCs/>
              </w:rPr>
            </w:pPr>
          </w:p>
          <w:p>
            <w:pPr>
              <w:pStyle w:val="2"/>
              <w:outlineLvl w:val="9"/>
              <w:rPr>
                <w:rFonts w:hint="default"/>
              </w:rPr>
            </w:pPr>
          </w:p>
          <w:p>
            <w:pPr>
              <w:keepNext w:val="0"/>
              <w:keepLines w:val="0"/>
              <w:pageBreakBefore w:val="0"/>
              <w:widowControl/>
              <w:kinsoku/>
              <w:wordWrap/>
              <w:overflowPunct/>
              <w:topLinePunct w:val="0"/>
              <w:autoSpaceDE/>
              <w:autoSpaceDN/>
              <w:bidi w:val="0"/>
              <w:adjustRightInd/>
              <w:snapToGrid/>
              <w:spacing w:line="240" w:lineRule="auto"/>
              <w:ind w:firstLine="0"/>
              <w:jc w:val="center"/>
              <w:textAlignment w:val="auto"/>
              <w:rPr>
                <w:rFonts w:hint="default"/>
              </w:rPr>
            </w:pPr>
            <w:r>
              <w:rPr>
                <w:rFonts w:hint="default"/>
                <w:b/>
                <w:bCs/>
              </w:rPr>
              <w:t>表</w:t>
            </w:r>
            <w:r>
              <w:rPr>
                <w:rFonts w:hint="eastAsia"/>
                <w:b/>
                <w:bCs/>
                <w:lang w:val="en-US" w:eastAsia="zh-CN"/>
              </w:rPr>
              <w:t>4-2</w:t>
            </w:r>
            <w:r>
              <w:rPr>
                <w:rFonts w:hint="default"/>
                <w:b/>
                <w:bCs/>
              </w:rPr>
              <w:t xml:space="preserve">  废水类别、污染物及污染治理设施信息表</w:t>
            </w:r>
          </w:p>
          <w:tbl>
            <w:tblPr>
              <w:tblStyle w:val="27"/>
              <w:tblpPr w:leftFromText="181" w:rightFromText="181" w:vertAnchor="text" w:tblpXSpec="center" w:tblpY="1"/>
              <w:tblOverlap w:val="never"/>
              <w:tblW w:w="4996"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24"/>
              <w:gridCol w:w="1007"/>
              <w:gridCol w:w="693"/>
              <w:gridCol w:w="683"/>
              <w:gridCol w:w="867"/>
              <w:gridCol w:w="707"/>
              <w:gridCol w:w="655"/>
              <w:gridCol w:w="881"/>
              <w:gridCol w:w="902"/>
              <w:gridCol w:w="108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2" w:hRule="atLeast"/>
                <w:jc w:val="center"/>
              </w:trPr>
              <w:tc>
                <w:tcPr>
                  <w:tcW w:w="496"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废水类别</w:t>
                  </w:r>
                </w:p>
              </w:tc>
              <w:tc>
                <w:tcPr>
                  <w:tcW w:w="606"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污染物种类</w:t>
                  </w:r>
                </w:p>
              </w:tc>
              <w:tc>
                <w:tcPr>
                  <w:tcW w:w="417"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排放去向</w:t>
                  </w:r>
                </w:p>
              </w:tc>
              <w:tc>
                <w:tcPr>
                  <w:tcW w:w="411"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排放规律</w:t>
                  </w:r>
                </w:p>
              </w:tc>
              <w:tc>
                <w:tcPr>
                  <w:tcW w:w="1342" w:type="pct"/>
                  <w:gridSpan w:val="3"/>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w:t>
                  </w:r>
                </w:p>
              </w:tc>
              <w:tc>
                <w:tcPr>
                  <w:tcW w:w="530"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排放口编号</w:t>
                  </w:r>
                </w:p>
              </w:tc>
              <w:tc>
                <w:tcPr>
                  <w:tcW w:w="543"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排放口设置是否符合要求</w:t>
                  </w:r>
                </w:p>
              </w:tc>
              <w:tc>
                <w:tcPr>
                  <w:tcW w:w="652" w:type="pct"/>
                  <w:vMerge w:val="restar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排放口</w:t>
                  </w:r>
                </w:p>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类型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496"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606"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417"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411"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522"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污染治理设施编号</w:t>
                  </w:r>
                </w:p>
              </w:tc>
              <w:tc>
                <w:tcPr>
                  <w:tcW w:w="425"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污染治理设施名称</w:t>
                  </w:r>
                </w:p>
              </w:tc>
              <w:tc>
                <w:tcPr>
                  <w:tcW w:w="394"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污染治理设施工艺</w:t>
                  </w:r>
                </w:p>
              </w:tc>
              <w:tc>
                <w:tcPr>
                  <w:tcW w:w="530"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543"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c>
                <w:tcPr>
                  <w:tcW w:w="652" w:type="pct"/>
                  <w:vMerge w:val="continue"/>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20" w:hRule="atLeast"/>
                <w:jc w:val="center"/>
              </w:trPr>
              <w:tc>
                <w:tcPr>
                  <w:tcW w:w="496"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eastAsia" w:ascii="Times New Roman" w:hAnsi="Times New Roman" w:eastAsia="宋体" w:cs="Times New Roman"/>
                      <w:szCs w:val="21"/>
                      <w:lang w:eastAsia="zh-CN"/>
                    </w:rPr>
                  </w:pPr>
                  <w:r>
                    <w:rPr>
                      <w:rFonts w:hint="default" w:ascii="Times New Roman" w:hAnsi="Times New Roman" w:eastAsia="宋体" w:cs="Times New Roman"/>
                      <w:szCs w:val="21"/>
                    </w:rPr>
                    <w:t>生活</w:t>
                  </w:r>
                  <w:r>
                    <w:rPr>
                      <w:rFonts w:hint="eastAsia" w:cs="Times New Roman"/>
                      <w:szCs w:val="21"/>
                      <w:lang w:val="en-US" w:eastAsia="zh-CN"/>
                    </w:rPr>
                    <w:t>污水</w:t>
                  </w:r>
                  <w:r>
                    <w:rPr>
                      <w:rFonts w:hint="default" w:ascii="Times New Roman" w:hAnsi="Times New Roman" w:eastAsia="宋体" w:cs="Times New Roman"/>
                      <w:szCs w:val="21"/>
                      <w:lang w:val="en-US" w:eastAsia="zh-CN"/>
                    </w:rPr>
                    <w:t>+生产</w:t>
                  </w:r>
                  <w:r>
                    <w:rPr>
                      <w:rFonts w:hint="eastAsia" w:cs="Times New Roman"/>
                      <w:szCs w:val="21"/>
                      <w:lang w:val="en-US" w:eastAsia="zh-CN"/>
                    </w:rPr>
                    <w:t>废水</w:t>
                  </w:r>
                </w:p>
              </w:tc>
              <w:tc>
                <w:tcPr>
                  <w:tcW w:w="606"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COD</w:t>
                  </w:r>
                  <w:r>
                    <w:rPr>
                      <w:rFonts w:hint="default" w:ascii="Times New Roman" w:hAnsi="Times New Roman" w:eastAsia="宋体" w:cs="Times New Roman"/>
                      <w:szCs w:val="21"/>
                      <w:vertAlign w:val="subscript"/>
                    </w:rPr>
                    <w:t>Cr</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NH</w:t>
                  </w:r>
                  <w:r>
                    <w:rPr>
                      <w:rFonts w:hint="default" w:ascii="Times New Roman" w:hAnsi="Times New Roman" w:eastAsia="宋体" w:cs="Times New Roman"/>
                      <w:szCs w:val="21"/>
                      <w:vertAlign w:val="subscript"/>
                    </w:rPr>
                    <w:t>3</w:t>
                  </w:r>
                  <w:r>
                    <w:rPr>
                      <w:rFonts w:hint="default" w:ascii="Times New Roman" w:hAnsi="Times New Roman" w:eastAsia="宋体" w:cs="Times New Roman"/>
                      <w:szCs w:val="21"/>
                    </w:rPr>
                    <w:t>-N</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BOD</w:t>
                  </w:r>
                  <w:r>
                    <w:rPr>
                      <w:rFonts w:hint="default" w:ascii="Times New Roman" w:hAnsi="Times New Roman" w:eastAsia="宋体" w:cs="Times New Roman"/>
                      <w:szCs w:val="21"/>
                      <w:vertAlign w:val="subscript"/>
                      <w:lang w:val="en-US" w:eastAsia="zh-CN"/>
                    </w:rPr>
                    <w:t>5</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lang w:val="en-US" w:eastAsia="zh-CN"/>
                    </w:rPr>
                    <w:t>SS</w:t>
                  </w:r>
                  <w:r>
                    <w:rPr>
                      <w:rFonts w:hint="eastAsia" w:ascii="Times New Roman" w:hAnsi="Times New Roman" w:eastAsia="宋体" w:cs="Times New Roman"/>
                      <w:szCs w:val="21"/>
                      <w:lang w:val="en-US" w:eastAsia="zh-CN"/>
                    </w:rPr>
                    <w:t>、动植物油</w:t>
                  </w:r>
                </w:p>
              </w:tc>
              <w:tc>
                <w:tcPr>
                  <w:tcW w:w="417"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上饶经济技术开发区污水处理厂</w:t>
                  </w:r>
                </w:p>
              </w:tc>
              <w:tc>
                <w:tcPr>
                  <w:tcW w:w="411"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间断排放，排放期间流量稳定，有周期性规律</w:t>
                  </w:r>
                </w:p>
              </w:tc>
              <w:tc>
                <w:tcPr>
                  <w:tcW w:w="522"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TW001</w:t>
                  </w:r>
                </w:p>
              </w:tc>
              <w:tc>
                <w:tcPr>
                  <w:tcW w:w="425"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eastAsia="zh-CN"/>
                    </w:rPr>
                  </w:pPr>
                  <w:r>
                    <w:rPr>
                      <w:rFonts w:hint="eastAsia" w:cs="Times New Roman"/>
                      <w:szCs w:val="21"/>
                      <w:lang w:val="en-US" w:eastAsia="zh-CN"/>
                    </w:rPr>
                    <w:t>地埋式污水处理设施</w:t>
                  </w:r>
                </w:p>
              </w:tc>
              <w:tc>
                <w:tcPr>
                  <w:tcW w:w="394"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厌氧生物</w:t>
                  </w:r>
                  <w:r>
                    <w:rPr>
                      <w:rFonts w:hint="eastAsia" w:ascii="Times New Roman" w:hAnsi="Times New Roman" w:eastAsia="宋体" w:cs="Times New Roman"/>
                      <w:szCs w:val="21"/>
                      <w:lang w:val="en-US" w:eastAsia="zh-CN"/>
                    </w:rPr>
                    <w:t>处理</w:t>
                  </w:r>
                  <w:r>
                    <w:rPr>
                      <w:rFonts w:hint="default" w:ascii="Times New Roman" w:hAnsi="Times New Roman" w:eastAsia="宋体" w:cs="Times New Roman"/>
                      <w:szCs w:val="21"/>
                    </w:rPr>
                    <w:t>工艺</w:t>
                  </w:r>
                </w:p>
              </w:tc>
              <w:tc>
                <w:tcPr>
                  <w:tcW w:w="530"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DW001</w:t>
                  </w:r>
                </w:p>
              </w:tc>
              <w:tc>
                <w:tcPr>
                  <w:tcW w:w="543"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52"/>
                  </w:r>
                  <w:r>
                    <w:rPr>
                      <w:rFonts w:hint="default" w:ascii="Times New Roman" w:hAnsi="Times New Roman" w:eastAsia="宋体" w:cs="Times New Roman"/>
                      <w:szCs w:val="21"/>
                    </w:rPr>
                    <w:t>是</w:t>
                  </w:r>
                </w:p>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否</w:t>
                  </w:r>
                </w:p>
              </w:tc>
              <w:tc>
                <w:tcPr>
                  <w:tcW w:w="652" w:type="pct"/>
                  <w:tcBorders>
                    <w:tl2br w:val="nil"/>
                    <w:tr2bl w:val="nil"/>
                  </w:tcBorders>
                  <w:noWrap w:val="0"/>
                  <w:vAlign w:val="center"/>
                </w:tcPr>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52"/>
                  </w:r>
                  <w:r>
                    <w:rPr>
                      <w:rFonts w:hint="default" w:ascii="Times New Roman" w:hAnsi="Times New Roman" w:eastAsia="宋体" w:cs="Times New Roman"/>
                      <w:szCs w:val="21"/>
                    </w:rPr>
                    <w:t>企业总排</w:t>
                  </w: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雨水排放</w:t>
                  </w: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清净下水放</w:t>
                  </w:r>
                </w:p>
                <w:p>
                  <w:pPr>
                    <w:keepNext w:val="0"/>
                    <w:keepLines w:val="0"/>
                    <w:pageBreakBefore w:val="0"/>
                    <w:kinsoku w:val="0"/>
                    <w:wordWrap/>
                    <w:overflowPunct w:val="0"/>
                    <w:topLinePunct w:val="0"/>
                    <w:autoSpaceDE w:val="0"/>
                    <w:autoSpaceDN w:val="0"/>
                    <w:bidi w:val="0"/>
                    <w:adjustRightInd w:val="0"/>
                    <w:snapToGrid w:val="0"/>
                    <w:spacing w:line="24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温排水排放</w:t>
                  </w:r>
                  <w:r>
                    <w:rPr>
                      <w:rFonts w:hint="default" w:ascii="Times New Roman" w:hAnsi="Times New Roman" w:eastAsia="宋体" w:cs="Times New Roman"/>
                      <w:szCs w:val="21"/>
                    </w:rPr>
                    <w:sym w:font="Wingdings 2" w:char="00A3"/>
                  </w:r>
                  <w:r>
                    <w:rPr>
                      <w:rFonts w:hint="default" w:ascii="Times New Roman" w:hAnsi="Times New Roman" w:eastAsia="宋体" w:cs="Times New Roman"/>
                      <w:szCs w:val="21"/>
                    </w:rPr>
                    <w:t>车间或车间处理设施排</w:t>
                  </w:r>
                  <w:r>
                    <w:rPr>
                      <w:rFonts w:hint="default" w:ascii="Times New Roman" w:hAnsi="Times New Roman" w:eastAsia="宋体" w:cs="Times New Roman"/>
                      <w:szCs w:val="21"/>
                      <w:lang w:eastAsia="zh-CN"/>
                    </w:rPr>
                    <w:t>放</w:t>
                  </w:r>
                  <w:r>
                    <w:rPr>
                      <w:rFonts w:hint="default" w:ascii="Times New Roman" w:hAnsi="Times New Roman" w:eastAsia="宋体" w:cs="Times New Roman"/>
                      <w:szCs w:val="21"/>
                    </w:rPr>
                    <w:t>口</w:t>
                  </w:r>
                </w:p>
              </w:tc>
            </w:tr>
          </w:tbl>
          <w:p>
            <w:pPr>
              <w:pStyle w:val="55"/>
              <w:keepNext w:val="0"/>
              <w:keepLines w:val="0"/>
              <w:pageBreakBefore w:val="0"/>
              <w:widowControl w:val="0"/>
              <w:suppressLineNumbers w:val="0"/>
              <w:kinsoku/>
              <w:wordWrap/>
              <w:overflowPunct/>
              <w:topLinePunct w:val="0"/>
              <w:autoSpaceDE w:val="0"/>
              <w:autoSpaceDN w:val="0"/>
              <w:bidi w:val="0"/>
              <w:adjustRightInd w:val="0"/>
              <w:snapToGrid w:val="0"/>
              <w:spacing w:before="0" w:beforeLines="0" w:beforeAutospacing="0" w:after="0" w:afterLines="0" w:afterAutospacing="0" w:line="240" w:lineRule="auto"/>
              <w:ind w:left="0" w:right="0"/>
              <w:jc w:val="center"/>
              <w:textAlignment w:val="baseline"/>
              <w:rPr>
                <w:rFonts w:hint="eastAsia" w:ascii="Times New Roman" w:hAnsi="Times New Roman" w:eastAsia="宋体" w:cs="Times New Roman"/>
                <w:b/>
                <w:bCs/>
                <w:color w:val="auto"/>
                <w:kern w:val="2"/>
                <w:sz w:val="21"/>
                <w:szCs w:val="24"/>
                <w:lang w:val="en-US" w:eastAsia="zh-CN" w:bidi="ar-SA"/>
              </w:rPr>
            </w:pPr>
            <w:r>
              <w:rPr>
                <w:rFonts w:hint="eastAsia" w:ascii="Times New Roman" w:hAnsi="Times New Roman" w:eastAsia="宋体" w:cs="Times New Roman"/>
                <w:b/>
                <w:bCs/>
                <w:color w:val="auto"/>
                <w:kern w:val="2"/>
                <w:sz w:val="21"/>
                <w:szCs w:val="24"/>
                <w:lang w:val="en-US" w:eastAsia="zh-CN" w:bidi="ar-SA"/>
              </w:rPr>
              <w:t>表4-3  废水污染物排放执行标准表</w:t>
            </w:r>
          </w:p>
          <w:tbl>
            <w:tblPr>
              <w:tblStyle w:val="27"/>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
              <w:gridCol w:w="1057"/>
              <w:gridCol w:w="1336"/>
              <w:gridCol w:w="3362"/>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366"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序号</w:t>
                  </w:r>
                </w:p>
              </w:tc>
              <w:tc>
                <w:tcPr>
                  <w:tcW w:w="637"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b/>
                      <w:color w:val="auto"/>
                      <w:sz w:val="21"/>
                      <w:szCs w:val="21"/>
                    </w:rPr>
                  </w:pPr>
                  <w:r>
                    <w:rPr>
                      <w:rFonts w:hint="eastAsia"/>
                      <w:b/>
                      <w:color w:val="auto"/>
                      <w:sz w:val="21"/>
                      <w:szCs w:val="21"/>
                    </w:rPr>
                    <w:t>排放口</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编号</w:t>
                  </w:r>
                </w:p>
              </w:tc>
              <w:tc>
                <w:tcPr>
                  <w:tcW w:w="805"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污染物种类</w:t>
                  </w:r>
                </w:p>
              </w:tc>
              <w:tc>
                <w:tcPr>
                  <w:tcW w:w="3191"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b/>
                      <w:color w:val="auto"/>
                      <w:sz w:val="21"/>
                      <w:szCs w:val="21"/>
                    </w:rPr>
                  </w:pPr>
                  <w:r>
                    <w:rPr>
                      <w:rFonts w:hint="eastAsia"/>
                      <w:b/>
                      <w:color w:val="auto"/>
                      <w:sz w:val="21"/>
                      <w:szCs w:val="21"/>
                    </w:rPr>
                    <w:t>国家或地方污染物排放标准及其他按规定商定的排放</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366"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b/>
                      <w:color w:val="auto"/>
                      <w:sz w:val="21"/>
                      <w:szCs w:val="21"/>
                    </w:rPr>
                  </w:pPr>
                </w:p>
              </w:tc>
              <w:tc>
                <w:tcPr>
                  <w:tcW w:w="637"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b/>
                      <w:color w:val="auto"/>
                      <w:sz w:val="21"/>
                      <w:szCs w:val="21"/>
                    </w:rPr>
                  </w:pPr>
                </w:p>
              </w:tc>
              <w:tc>
                <w:tcPr>
                  <w:tcW w:w="805"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b/>
                      <w:color w:val="auto"/>
                      <w:sz w:val="21"/>
                      <w:szCs w:val="21"/>
                    </w:rPr>
                  </w:pPr>
                </w:p>
              </w:tc>
              <w:tc>
                <w:tcPr>
                  <w:tcW w:w="202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名称</w:t>
                  </w: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b/>
                      <w:color w:val="auto"/>
                      <w:sz w:val="21"/>
                      <w:szCs w:val="21"/>
                    </w:rPr>
                  </w:pPr>
                  <w:r>
                    <w:rPr>
                      <w:rFonts w:hint="eastAsia"/>
                      <w:b/>
                      <w:color w:val="auto"/>
                      <w:sz w:val="21"/>
                      <w:szCs w:val="21"/>
                    </w:rPr>
                    <w:t>浓度限值</w:t>
                  </w:r>
                  <w:r>
                    <w:rPr>
                      <w:rFonts w:hint="default"/>
                      <w:b/>
                      <w:color w:val="auto"/>
                      <w:sz w:val="21"/>
                      <w:szCs w:val="21"/>
                    </w:rPr>
                    <w:t>/</w:t>
                  </w:r>
                  <w:r>
                    <w:rPr>
                      <w:rFonts w:hint="eastAsia"/>
                      <w:b/>
                      <w:color w:val="auto"/>
                      <w:sz w:val="21"/>
                      <w:szCs w:val="21"/>
                    </w:rPr>
                    <w:t>（</w:t>
                  </w:r>
                  <w:r>
                    <w:rPr>
                      <w:rFonts w:hint="default"/>
                      <w:b/>
                      <w:color w:val="auto"/>
                      <w:sz w:val="21"/>
                      <w:szCs w:val="21"/>
                    </w:rPr>
                    <w:t>mg/L</w:t>
                  </w:r>
                  <w:r>
                    <w:rPr>
                      <w:rFonts w:hint="eastAsia"/>
                      <w:b/>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default"/>
                      <w:color w:val="auto"/>
                      <w:sz w:val="21"/>
                      <w:szCs w:val="21"/>
                    </w:rPr>
                    <w:t>1</w:t>
                  </w:r>
                </w:p>
              </w:tc>
              <w:tc>
                <w:tcPr>
                  <w:tcW w:w="637"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eastAsia="宋体"/>
                      <w:color w:val="auto"/>
                      <w:sz w:val="21"/>
                      <w:szCs w:val="21"/>
                      <w:lang w:eastAsia="zh-CN"/>
                    </w:rPr>
                  </w:pPr>
                  <w:r>
                    <w:rPr>
                      <w:rFonts w:hint="eastAsia"/>
                      <w:color w:val="auto"/>
                      <w:sz w:val="21"/>
                      <w:szCs w:val="21"/>
                      <w:lang w:eastAsia="zh-CN"/>
                    </w:rPr>
                    <w:t>DW001</w:t>
                  </w: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default"/>
                      <w:color w:val="auto"/>
                      <w:sz w:val="21"/>
                      <w:szCs w:val="21"/>
                    </w:rPr>
                    <w:t>COD</w:t>
                  </w:r>
                  <w:r>
                    <w:rPr>
                      <w:rFonts w:hint="default"/>
                      <w:color w:val="auto"/>
                      <w:sz w:val="21"/>
                      <w:szCs w:val="21"/>
                      <w:vertAlign w:val="subscript"/>
                    </w:rPr>
                    <w:t>cr</w:t>
                  </w:r>
                </w:p>
              </w:tc>
              <w:tc>
                <w:tcPr>
                  <w:tcW w:w="2026" w:type="pct"/>
                  <w:vMerge w:val="restart"/>
                  <w:tcBorders>
                    <w:top w:val="single" w:color="000000" w:sz="4" w:space="0"/>
                    <w:left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《城镇污水处理厂污染物排放标准》（GB18918-2002）一级</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B标准</w:t>
                  </w: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2</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SS</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3</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default"/>
                      <w:color w:val="auto"/>
                      <w:sz w:val="21"/>
                      <w:szCs w:val="21"/>
                    </w:rPr>
                    <w:t>BOD</w:t>
                  </w:r>
                  <w:r>
                    <w:rPr>
                      <w:rFonts w:hint="default"/>
                      <w:color w:val="auto"/>
                      <w:sz w:val="21"/>
                      <w:szCs w:val="21"/>
                      <w:vertAlign w:val="subscript"/>
                    </w:rPr>
                    <w:t>5</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5"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4</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color w:val="auto"/>
                      <w:sz w:val="21"/>
                      <w:szCs w:val="21"/>
                    </w:rPr>
                  </w:pPr>
                  <w:r>
                    <w:rPr>
                      <w:rFonts w:hint="eastAsia"/>
                      <w:color w:val="auto"/>
                      <w:sz w:val="21"/>
                      <w:szCs w:val="21"/>
                    </w:rPr>
                    <w:t>NH</w:t>
                  </w:r>
                  <w:r>
                    <w:rPr>
                      <w:rFonts w:hint="eastAsia"/>
                      <w:color w:val="auto"/>
                      <w:sz w:val="21"/>
                      <w:szCs w:val="21"/>
                      <w:vertAlign w:val="subscript"/>
                    </w:rPr>
                    <w:t>3</w:t>
                  </w:r>
                  <w:r>
                    <w:rPr>
                      <w:rFonts w:hint="eastAsia"/>
                      <w:color w:val="auto"/>
                      <w:sz w:val="21"/>
                      <w:szCs w:val="21"/>
                    </w:rPr>
                    <w:t>-N</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color w:val="auto"/>
                      <w:sz w:val="21"/>
                      <w:szCs w:val="21"/>
                    </w:rPr>
                  </w:pPr>
                  <w:r>
                    <w:rPr>
                      <w:rFonts w:hint="eastAsia"/>
                      <w:color w:val="auto"/>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36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eastAsia="宋体"/>
                      <w:color w:val="auto"/>
                      <w:sz w:val="21"/>
                      <w:szCs w:val="21"/>
                      <w:lang w:val="en-US" w:eastAsia="zh-CN"/>
                    </w:rPr>
                  </w:pPr>
                  <w:r>
                    <w:rPr>
                      <w:rFonts w:hint="eastAsia"/>
                      <w:color w:val="auto"/>
                      <w:sz w:val="21"/>
                      <w:szCs w:val="21"/>
                      <w:lang w:val="en-US" w:eastAsia="zh-CN"/>
                    </w:rPr>
                    <w:t>5</w:t>
                  </w:r>
                </w:p>
              </w:tc>
              <w:tc>
                <w:tcPr>
                  <w:tcW w:w="637"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8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default" w:eastAsia="宋体"/>
                      <w:color w:val="auto"/>
                      <w:sz w:val="21"/>
                      <w:szCs w:val="21"/>
                      <w:lang w:val="en-US" w:eastAsia="zh-CN"/>
                    </w:rPr>
                  </w:pPr>
                  <w:r>
                    <w:rPr>
                      <w:rFonts w:hint="eastAsia"/>
                      <w:color w:val="auto"/>
                      <w:sz w:val="21"/>
                      <w:szCs w:val="21"/>
                      <w:lang w:val="en-US" w:eastAsia="zh-CN"/>
                    </w:rPr>
                    <w:t>动植物油</w:t>
                  </w:r>
                </w:p>
              </w:tc>
              <w:tc>
                <w:tcPr>
                  <w:tcW w:w="2026" w:type="pct"/>
                  <w:vMerge w:val="continue"/>
                  <w:tcBorders>
                    <w:left w:val="single" w:color="000000" w:sz="4" w:space="0"/>
                    <w:right w:val="single" w:color="000000"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textAlignment w:val="auto"/>
                    <w:rPr>
                      <w:rFonts w:hint="default"/>
                      <w:color w:val="auto"/>
                      <w:sz w:val="21"/>
                      <w:szCs w:val="21"/>
                    </w:rPr>
                  </w:pPr>
                </w:p>
              </w:tc>
              <w:tc>
                <w:tcPr>
                  <w:tcW w:w="1164"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jc w:val="center"/>
                    <w:textAlignment w:val="auto"/>
                    <w:rPr>
                      <w:rFonts w:hint="eastAsia" w:eastAsia="宋体"/>
                      <w:color w:val="auto"/>
                      <w:sz w:val="21"/>
                      <w:szCs w:val="21"/>
                      <w:lang w:val="en-US" w:eastAsia="zh-CN"/>
                    </w:rPr>
                  </w:pPr>
                  <w:r>
                    <w:rPr>
                      <w:rFonts w:hint="eastAsia"/>
                      <w:color w:val="auto"/>
                      <w:sz w:val="21"/>
                      <w:szCs w:val="21"/>
                      <w:lang w:val="en-US" w:eastAsia="zh-CN"/>
                    </w:rPr>
                    <w:t>3</w:t>
                  </w:r>
                </w:p>
              </w:tc>
            </w:tr>
          </w:tbl>
          <w:p>
            <w:pPr>
              <w:keepNext w:val="0"/>
              <w:keepLines w:val="0"/>
              <w:pageBreakBefore w:val="0"/>
              <w:widowControl/>
              <w:kinsoku/>
              <w:wordWrap/>
              <w:overflowPunct/>
              <w:topLinePunct w:val="0"/>
              <w:autoSpaceDE/>
              <w:autoSpaceDN/>
              <w:bidi w:val="0"/>
              <w:adjustRightInd/>
              <w:snapToGrid/>
              <w:spacing w:before="157" w:beforeLines="50" w:line="360" w:lineRule="auto"/>
              <w:ind w:firstLine="482"/>
              <w:textAlignment w:val="auto"/>
              <w:rPr>
                <w:rFonts w:hint="default"/>
                <w:sz w:val="24"/>
                <w:szCs w:val="32"/>
              </w:rPr>
            </w:pPr>
            <w:r>
              <w:rPr>
                <w:rFonts w:hint="default"/>
                <w:sz w:val="24"/>
                <w:szCs w:val="32"/>
              </w:rPr>
              <w:t>废水污染物排放信息表</w:t>
            </w:r>
            <w:r>
              <w:rPr>
                <w:rFonts w:hint="default"/>
                <w:sz w:val="24"/>
                <w:szCs w:val="32"/>
                <w:lang w:eastAsia="zh-CN"/>
              </w:rPr>
              <w:t>见表</w:t>
            </w:r>
            <w:r>
              <w:rPr>
                <w:rFonts w:hint="eastAsia"/>
                <w:sz w:val="24"/>
                <w:szCs w:val="32"/>
                <w:lang w:val="en-US" w:eastAsia="zh-CN"/>
              </w:rPr>
              <w:t>4</w:t>
            </w:r>
            <w:r>
              <w:rPr>
                <w:rFonts w:hint="default"/>
                <w:sz w:val="24"/>
                <w:szCs w:val="32"/>
                <w:lang w:val="en-US" w:eastAsia="zh-CN"/>
              </w:rPr>
              <w:t>-</w:t>
            </w:r>
            <w:r>
              <w:rPr>
                <w:rFonts w:hint="eastAsia"/>
                <w:sz w:val="24"/>
                <w:szCs w:val="32"/>
                <w:lang w:val="en-US" w:eastAsia="zh-CN"/>
              </w:rPr>
              <w:t>4</w:t>
            </w:r>
            <w:r>
              <w:rPr>
                <w:rFonts w:hint="default"/>
                <w:sz w:val="24"/>
                <w:szCs w:val="32"/>
              </w:rPr>
              <w:t>。</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b/>
                <w:bCs/>
              </w:rPr>
            </w:pPr>
            <w:r>
              <w:rPr>
                <w:rFonts w:hint="default"/>
                <w:b/>
                <w:bCs/>
              </w:rPr>
              <w:t>表</w:t>
            </w:r>
            <w:r>
              <w:rPr>
                <w:rFonts w:hint="eastAsia"/>
                <w:b/>
                <w:bCs/>
                <w:lang w:val="en-US" w:eastAsia="zh-CN"/>
              </w:rPr>
              <w:t>4</w:t>
            </w:r>
            <w:r>
              <w:rPr>
                <w:rFonts w:hint="default"/>
                <w:b/>
                <w:bCs/>
                <w:lang w:val="en-US" w:eastAsia="zh-CN"/>
              </w:rPr>
              <w:t>-</w:t>
            </w:r>
            <w:r>
              <w:rPr>
                <w:rFonts w:hint="eastAsia"/>
                <w:b/>
                <w:bCs/>
                <w:lang w:val="en-US" w:eastAsia="zh-CN"/>
              </w:rPr>
              <w:t xml:space="preserve">4 </w:t>
            </w:r>
            <w:r>
              <w:rPr>
                <w:rFonts w:hint="default"/>
                <w:b/>
                <w:bCs/>
              </w:rPr>
              <w:t>废水污染物排放信息表(</w:t>
            </w:r>
            <w:r>
              <w:rPr>
                <w:rFonts w:hint="default"/>
                <w:b/>
                <w:bCs/>
                <w:lang w:eastAsia="zh-CN"/>
              </w:rPr>
              <w:t>新建</w:t>
            </w:r>
            <w:r>
              <w:rPr>
                <w:rFonts w:hint="default"/>
                <w:b/>
                <w:bCs/>
              </w:rPr>
              <w:t>项目)</w:t>
            </w:r>
          </w:p>
          <w:tbl>
            <w:tblPr>
              <w:tblStyle w:val="28"/>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337"/>
              <w:gridCol w:w="1236"/>
              <w:gridCol w:w="1914"/>
              <w:gridCol w:w="1608"/>
              <w:gridCol w:w="15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序号</w:t>
                  </w:r>
                </w:p>
              </w:tc>
              <w:tc>
                <w:tcPr>
                  <w:tcW w:w="80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排放口编号</w:t>
                  </w:r>
                </w:p>
              </w:tc>
              <w:tc>
                <w:tcPr>
                  <w:tcW w:w="74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污染物种类</w:t>
                  </w:r>
                </w:p>
              </w:tc>
              <w:tc>
                <w:tcPr>
                  <w:tcW w:w="11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排放浓度</w:t>
                  </w:r>
                  <w:r>
                    <w:rPr>
                      <w:rFonts w:hint="default"/>
                      <w:b/>
                      <w:bCs/>
                      <w:lang w:val="en-US" w:eastAsia="zh-CN"/>
                    </w:rPr>
                    <w:t>/</w:t>
                  </w:r>
                  <w:r>
                    <w:rPr>
                      <w:rFonts w:hint="default"/>
                      <w:b/>
                      <w:bCs/>
                      <w:lang w:eastAsia="zh-CN"/>
                    </w:rPr>
                    <w:t>（</w:t>
                  </w:r>
                  <w:r>
                    <w:rPr>
                      <w:rFonts w:hint="default"/>
                      <w:b/>
                      <w:bCs/>
                      <w:lang w:val="en-US" w:eastAsia="zh-CN"/>
                    </w:rPr>
                    <w:t>mg/L</w:t>
                  </w:r>
                  <w:r>
                    <w:rPr>
                      <w:rFonts w:hint="default"/>
                      <w:b/>
                      <w:bCs/>
                      <w:lang w:eastAsia="zh-CN"/>
                    </w:rPr>
                    <w:t>）</w:t>
                  </w:r>
                </w:p>
              </w:tc>
              <w:tc>
                <w:tcPr>
                  <w:tcW w:w="9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eastAsia="zh-CN"/>
                    </w:rPr>
                  </w:pPr>
                  <w:r>
                    <w:rPr>
                      <w:rFonts w:hint="default"/>
                      <w:b/>
                      <w:bCs/>
                      <w:lang w:eastAsia="zh-CN"/>
                    </w:rPr>
                    <w:t>日排放量</w:t>
                  </w:r>
                  <w:r>
                    <w:rPr>
                      <w:rFonts w:hint="default"/>
                      <w:b/>
                      <w:bCs/>
                      <w:lang w:val="en-US" w:eastAsia="zh-CN"/>
                    </w:rPr>
                    <w:t>/</w:t>
                  </w:r>
                  <w:r>
                    <w:rPr>
                      <w:rFonts w:hint="default"/>
                      <w:b/>
                      <w:bCs/>
                      <w:lang w:eastAsia="zh-CN"/>
                    </w:rPr>
                    <w:t>（</w:t>
                  </w:r>
                  <w:r>
                    <w:rPr>
                      <w:rFonts w:hint="default"/>
                      <w:b/>
                      <w:bCs/>
                      <w:lang w:val="en-US" w:eastAsia="zh-CN"/>
                    </w:rPr>
                    <w:t>t/a</w:t>
                  </w:r>
                  <w:r>
                    <w:rPr>
                      <w:rFonts w:hint="default"/>
                      <w:b/>
                      <w:bCs/>
                      <w:lang w:eastAsia="zh-CN"/>
                    </w:rPr>
                    <w:t>）</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b/>
                      <w:bCs/>
                      <w:lang w:val="en-US" w:eastAsia="zh-CN"/>
                    </w:rPr>
                  </w:pPr>
                  <w:r>
                    <w:rPr>
                      <w:rFonts w:hint="default"/>
                      <w:b/>
                      <w:bCs/>
                      <w:lang w:eastAsia="zh-CN"/>
                    </w:rPr>
                    <w:t>年排放量</w:t>
                  </w:r>
                  <w:r>
                    <w:rPr>
                      <w:rFonts w:hint="default"/>
                      <w:b/>
                      <w:bCs/>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1</w:t>
                  </w:r>
                </w:p>
              </w:tc>
              <w:tc>
                <w:tcPr>
                  <w:tcW w:w="80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rPr>
                    <w:t>DW001</w:t>
                  </w:r>
                </w:p>
              </w:tc>
              <w:tc>
                <w:tcPr>
                  <w:tcW w:w="74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lang w:val="en-US" w:eastAsia="zh-CN"/>
                    </w:rPr>
                    <w:t>COD</w:t>
                  </w:r>
                  <w:r>
                    <w:rPr>
                      <w:rFonts w:hint="default"/>
                      <w:vertAlign w:val="subscript"/>
                      <w:lang w:val="en-US" w:eastAsia="zh-CN"/>
                    </w:rPr>
                    <w:t>Cr</w:t>
                  </w:r>
                </w:p>
              </w:tc>
              <w:tc>
                <w:tcPr>
                  <w:tcW w:w="11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60</w:t>
                  </w:r>
                </w:p>
              </w:tc>
              <w:tc>
                <w:tcPr>
                  <w:tcW w:w="9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0.0003</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2</w:t>
                  </w:r>
                </w:p>
              </w:tc>
              <w:tc>
                <w:tcPr>
                  <w:tcW w:w="80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rPr>
                    <w:t>DW001</w:t>
                  </w:r>
                </w:p>
              </w:tc>
              <w:tc>
                <w:tcPr>
                  <w:tcW w:w="74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lang w:val="en-US" w:eastAsia="zh-CN"/>
                    </w:rPr>
                    <w:t>NH</w:t>
                  </w:r>
                  <w:r>
                    <w:rPr>
                      <w:rFonts w:hint="default"/>
                      <w:vertAlign w:val="subscript"/>
                      <w:lang w:val="en-US" w:eastAsia="zh-CN"/>
                    </w:rPr>
                    <w:t>3</w:t>
                  </w:r>
                  <w:r>
                    <w:rPr>
                      <w:rFonts w:hint="default"/>
                      <w:lang w:val="en-US" w:eastAsia="zh-CN"/>
                    </w:rPr>
                    <w:t>-N</w:t>
                  </w:r>
                </w:p>
              </w:tc>
              <w:tc>
                <w:tcPr>
                  <w:tcW w:w="11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8</w:t>
                  </w:r>
                </w:p>
              </w:tc>
              <w:tc>
                <w:tcPr>
                  <w:tcW w:w="96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0.000</w:t>
                  </w:r>
                  <w:r>
                    <w:rPr>
                      <w:rFonts w:hint="eastAsia"/>
                      <w:b w:val="0"/>
                      <w:bCs w:val="0"/>
                      <w:lang w:val="en-US" w:eastAsia="zh-CN"/>
                    </w:rPr>
                    <w:t>03</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88" w:type="pct"/>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r>
                    <w:rPr>
                      <w:rFonts w:hint="default"/>
                      <w:lang w:eastAsia="zh-CN"/>
                    </w:rPr>
                    <w:t>全厂排放口合计</w:t>
                  </w:r>
                </w:p>
              </w:tc>
              <w:tc>
                <w:tcPr>
                  <w:tcW w:w="286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COD</w:t>
                  </w:r>
                  <w:r>
                    <w:rPr>
                      <w:rFonts w:hint="default"/>
                      <w:vertAlign w:val="subscript"/>
                      <w:lang w:val="en-US" w:eastAsia="zh-CN"/>
                    </w:rPr>
                    <w:t>Cr</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88"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rPr>
                  </w:pPr>
                </w:p>
              </w:tc>
              <w:tc>
                <w:tcPr>
                  <w:tcW w:w="2864"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default"/>
                      <w:lang w:val="en-US" w:eastAsia="zh-CN"/>
                    </w:rPr>
                    <w:t>NH</w:t>
                  </w:r>
                  <w:r>
                    <w:rPr>
                      <w:rFonts w:hint="default"/>
                      <w:vertAlign w:val="subscript"/>
                      <w:lang w:val="en-US" w:eastAsia="zh-CN"/>
                    </w:rPr>
                    <w:t>3</w:t>
                  </w:r>
                  <w:r>
                    <w:rPr>
                      <w:rFonts w:hint="default"/>
                      <w:lang w:val="en-US" w:eastAsia="zh-CN"/>
                    </w:rPr>
                    <w:t>-N</w:t>
                  </w:r>
                </w:p>
              </w:tc>
              <w:tc>
                <w:tcPr>
                  <w:tcW w:w="9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lang w:val="en-US" w:eastAsia="zh-CN"/>
                    </w:rPr>
                    <w:t>0.01</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textAlignment w:val="auto"/>
              <w:rPr>
                <w:rFonts w:ascii="Times New Roman" w:hAnsi="Times New Roman" w:eastAsia="宋体" w:cs="Times New Roman"/>
                <w:b w:val="0"/>
                <w:bCs w:val="0"/>
                <w:sz w:val="24"/>
                <w:szCs w:val="24"/>
              </w:rPr>
            </w:pPr>
            <w:r>
              <w:rPr>
                <w:rFonts w:hint="eastAsia" w:cs="Times New Roman"/>
                <w:b w:val="0"/>
                <w:bCs w:val="0"/>
                <w:sz w:val="24"/>
                <w:szCs w:val="24"/>
                <w:lang w:eastAsia="zh-CN"/>
              </w:rPr>
              <w:t>（</w:t>
            </w:r>
            <w:r>
              <w:rPr>
                <w:rFonts w:hint="eastAsia" w:cs="Times New Roman"/>
                <w:b w:val="0"/>
                <w:bCs w:val="0"/>
                <w:sz w:val="24"/>
                <w:szCs w:val="24"/>
                <w:lang w:val="en-US" w:eastAsia="zh-CN"/>
              </w:rPr>
              <w:t>6</w:t>
            </w:r>
            <w:r>
              <w:rPr>
                <w:rFonts w:hint="eastAsia" w:cs="Times New Roman"/>
                <w:b w:val="0"/>
                <w:bCs w:val="0"/>
                <w:sz w:val="24"/>
                <w:szCs w:val="24"/>
                <w:lang w:eastAsia="zh-CN"/>
              </w:rPr>
              <w:t>）</w:t>
            </w:r>
            <w:r>
              <w:rPr>
                <w:rFonts w:ascii="Times New Roman" w:hAnsi="Times New Roman" w:eastAsia="宋体" w:cs="Times New Roman"/>
                <w:b w:val="0"/>
                <w:bCs w:val="0"/>
                <w:sz w:val="24"/>
                <w:szCs w:val="24"/>
              </w:rPr>
              <w:t>废水监测要求</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Times New Roman" w:hAnsi="Times New Roman" w:eastAsia="宋体" w:cs="Times New Roman"/>
              </w:rPr>
            </w:pPr>
            <w:r>
              <w:rPr>
                <w:rFonts w:ascii="Times New Roman" w:hAnsi="Times New Roman" w:eastAsia="宋体" w:cs="Times New Roman"/>
                <w:sz w:val="24"/>
                <w:szCs w:val="24"/>
              </w:rPr>
              <w:t>据《排污单位自行监测技术指南 总则（发布稿）》（HJ819-2018），制定的废水污染源监测方案见表4-</w:t>
            </w:r>
            <w:r>
              <w:rPr>
                <w:rFonts w:hint="eastAsia" w:cs="Times New Roman"/>
                <w:sz w:val="24"/>
                <w:szCs w:val="24"/>
                <w:lang w:val="en-US" w:eastAsia="zh-CN"/>
              </w:rPr>
              <w:t>5</w:t>
            </w:r>
            <w:r>
              <w:rPr>
                <w:rFonts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b/>
                <w:bCs/>
                <w:sz w:val="21"/>
                <w:szCs w:val="21"/>
              </w:rPr>
              <w:t>表4-</w:t>
            </w:r>
            <w:r>
              <w:rPr>
                <w:rFonts w:hint="eastAsia" w:cs="Times New Roman"/>
                <w:b/>
                <w:bCs/>
                <w:sz w:val="21"/>
                <w:szCs w:val="21"/>
                <w:lang w:val="en-US" w:eastAsia="zh-CN"/>
              </w:rPr>
              <w:t>5</w:t>
            </w:r>
            <w:r>
              <w:rPr>
                <w:rFonts w:ascii="Times New Roman" w:hAnsi="Times New Roman" w:eastAsia="宋体" w:cs="Times New Roman"/>
                <w:b/>
                <w:bCs/>
                <w:sz w:val="21"/>
                <w:szCs w:val="21"/>
              </w:rPr>
              <w:t xml:space="preserve"> 项目废水监测计划一览表</w:t>
            </w:r>
          </w:p>
          <w:tbl>
            <w:tblPr>
              <w:tblStyle w:val="27"/>
              <w:tblW w:w="4992"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154"/>
              <w:gridCol w:w="4408"/>
              <w:gridCol w:w="1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3"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污染源</w:t>
                  </w:r>
                </w:p>
              </w:tc>
              <w:tc>
                <w:tcPr>
                  <w:tcW w:w="695"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监测位置</w:t>
                  </w:r>
                </w:p>
              </w:tc>
              <w:tc>
                <w:tcPr>
                  <w:tcW w:w="2657"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监测项目</w:t>
                  </w:r>
                </w:p>
              </w:tc>
              <w:tc>
                <w:tcPr>
                  <w:tcW w:w="1033" w:type="pct"/>
                  <w:tcBorders>
                    <w:tl2br w:val="nil"/>
                    <w:tr2bl w:val="nil"/>
                  </w:tcBorders>
                </w:tcPr>
                <w:p>
                  <w:pPr>
                    <w:adjustRightInd w:val="0"/>
                    <w:snapToGrid w:val="0"/>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最低监测频次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3" w:type="pct"/>
                  <w:tcBorders>
                    <w:tl2br w:val="nil"/>
                    <w:tr2bl w:val="nil"/>
                  </w:tcBorders>
                  <w:vAlign w:val="center"/>
                </w:tcPr>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综合</w:t>
                  </w:r>
                </w:p>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废水</w:t>
                  </w:r>
                </w:p>
              </w:tc>
              <w:tc>
                <w:tcPr>
                  <w:tcW w:w="695" w:type="pct"/>
                  <w:tcBorders>
                    <w:tl2br w:val="nil"/>
                    <w:tr2bl w:val="nil"/>
                  </w:tcBorders>
                  <w:vAlign w:val="center"/>
                </w:tcPr>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废水总</w:t>
                  </w:r>
                </w:p>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排口</w:t>
                  </w:r>
                </w:p>
              </w:tc>
              <w:tc>
                <w:tcPr>
                  <w:tcW w:w="2657" w:type="pct"/>
                  <w:tcBorders>
                    <w:tl2br w:val="nil"/>
                    <w:tr2bl w:val="nil"/>
                  </w:tcBorders>
                  <w:vAlign w:val="center"/>
                </w:tcPr>
                <w:p>
                  <w:pPr>
                    <w:adjustRightInd w:val="0"/>
                    <w:snapToGrid w:val="0"/>
                    <w:spacing w:line="320" w:lineRule="exact"/>
                    <w:jc w:val="center"/>
                    <w:rPr>
                      <w:rFonts w:hint="default" w:ascii="Times New Roman" w:hAnsi="Times New Roman" w:eastAsia="宋体" w:cs="Times New Roman"/>
                      <w:bCs/>
                      <w:szCs w:val="21"/>
                      <w:lang w:val="en-US" w:eastAsia="zh-CN"/>
                    </w:rPr>
                  </w:pPr>
                  <w:r>
                    <w:rPr>
                      <w:rFonts w:ascii="Times New Roman" w:hAnsi="Times New Roman" w:eastAsia="宋体" w:cs="Times New Roman"/>
                      <w:bCs/>
                      <w:szCs w:val="21"/>
                    </w:rPr>
                    <w:t>流量、pH、COD</w:t>
                  </w:r>
                  <w:r>
                    <w:rPr>
                      <w:rFonts w:hint="eastAsia" w:cs="Times New Roman"/>
                      <w:bCs/>
                      <w:szCs w:val="21"/>
                      <w:vertAlign w:val="subscript"/>
                      <w:lang w:val="en-US" w:eastAsia="zh-CN"/>
                    </w:rPr>
                    <w:t>Cr</w:t>
                  </w:r>
                  <w:r>
                    <w:rPr>
                      <w:rFonts w:ascii="Times New Roman" w:hAnsi="Times New Roman" w:eastAsia="宋体" w:cs="Times New Roman"/>
                      <w:bCs/>
                      <w:szCs w:val="21"/>
                    </w:rPr>
                    <w:t>、BOD</w:t>
                  </w:r>
                  <w:r>
                    <w:rPr>
                      <w:rFonts w:ascii="Times New Roman" w:hAnsi="Times New Roman" w:eastAsia="宋体" w:cs="Times New Roman"/>
                      <w:bCs/>
                      <w:szCs w:val="21"/>
                      <w:vertAlign w:val="subscript"/>
                    </w:rPr>
                    <w:t>5</w:t>
                  </w:r>
                  <w:r>
                    <w:rPr>
                      <w:rFonts w:ascii="Times New Roman" w:hAnsi="Times New Roman" w:eastAsia="宋体" w:cs="Times New Roman"/>
                      <w:bCs/>
                      <w:szCs w:val="21"/>
                    </w:rPr>
                    <w:t>、NH</w:t>
                  </w:r>
                  <w:r>
                    <w:rPr>
                      <w:rFonts w:ascii="Times New Roman" w:hAnsi="Times New Roman" w:eastAsia="宋体" w:cs="Times New Roman"/>
                      <w:bCs/>
                      <w:szCs w:val="21"/>
                      <w:vertAlign w:val="subscript"/>
                    </w:rPr>
                    <w:t>3</w:t>
                  </w:r>
                  <w:r>
                    <w:rPr>
                      <w:rFonts w:ascii="Times New Roman" w:hAnsi="Times New Roman" w:eastAsia="宋体" w:cs="Times New Roman"/>
                      <w:bCs/>
                      <w:szCs w:val="21"/>
                    </w:rPr>
                    <w:t>-N、</w:t>
                  </w:r>
                  <w:r>
                    <w:rPr>
                      <w:rFonts w:hint="eastAsia" w:cs="Times New Roman"/>
                      <w:bCs/>
                      <w:szCs w:val="21"/>
                      <w:lang w:val="en-US" w:eastAsia="zh-CN"/>
                    </w:rPr>
                    <w:t>动植物油</w:t>
                  </w:r>
                </w:p>
              </w:tc>
              <w:tc>
                <w:tcPr>
                  <w:tcW w:w="1033" w:type="pct"/>
                  <w:tcBorders>
                    <w:tl2br w:val="nil"/>
                    <w:tr2bl w:val="nil"/>
                  </w:tcBorders>
                  <w:vAlign w:val="center"/>
                </w:tcPr>
                <w:p>
                  <w:pPr>
                    <w:adjustRightInd w:val="0"/>
                    <w:snapToGrid w:val="0"/>
                    <w:spacing w:line="320" w:lineRule="exact"/>
                    <w:jc w:val="center"/>
                    <w:rPr>
                      <w:rFonts w:ascii="Times New Roman" w:hAnsi="Times New Roman" w:eastAsia="宋体" w:cs="Times New Roman"/>
                      <w:bCs/>
                      <w:szCs w:val="21"/>
                    </w:rPr>
                  </w:pPr>
                  <w:r>
                    <w:rPr>
                      <w:rFonts w:ascii="Times New Roman" w:hAnsi="Times New Roman" w:eastAsia="宋体" w:cs="Times New Roman"/>
                      <w:bCs/>
                      <w:szCs w:val="21"/>
                    </w:rPr>
                    <w:t>1次/年</w:t>
                  </w:r>
                </w:p>
              </w:tc>
            </w:tr>
          </w:tbl>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pStyle w:val="24"/>
        <w:jc w:val="center"/>
        <w:outlineLvl w:val="9"/>
        <w:rPr>
          <w:rFonts w:hint="eastAsia" w:ascii="黑体" w:hAnsi="黑体" w:eastAsia="黑体"/>
          <w:snapToGrid w:val="0"/>
          <w:sz w:val="30"/>
          <w:szCs w:val="30"/>
        </w:rPr>
      </w:pPr>
    </w:p>
    <w:p>
      <w:pPr>
        <w:adjustRightInd w:val="0"/>
        <w:snapToGrid w:val="0"/>
        <w:spacing w:line="360" w:lineRule="auto"/>
        <w:rPr>
          <w:rFonts w:hint="eastAsia" w:ascii="宋体" w:cs="宋体"/>
          <w:b/>
          <w:kern w:val="0"/>
          <w:sz w:val="28"/>
          <w:szCs w:val="28"/>
        </w:rPr>
        <w:sectPr>
          <w:pgSz w:w="11907" w:h="16840"/>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14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4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170" w:hRule="atLeast"/>
        </w:trPr>
        <w:tc>
          <w:tcPr>
            <w:tcW w:w="457"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1405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42" w:firstLineChars="200"/>
              <w:textAlignment w:val="auto"/>
              <w:rPr>
                <w:rFonts w:hint="default" w:ascii="Times New Roman" w:hAnsi="Times New Roman" w:eastAsia="宋体" w:cs="Times New Roman"/>
                <w:b/>
                <w:bCs w:val="0"/>
                <w:spacing w:val="-10"/>
                <w:sz w:val="24"/>
                <w:szCs w:val="24"/>
                <w:lang w:val="en-US" w:eastAsia="zh-CN"/>
              </w:rPr>
            </w:pPr>
            <w:r>
              <w:rPr>
                <w:rFonts w:hint="eastAsia" w:cs="Times New Roman"/>
                <w:b/>
                <w:bCs w:val="0"/>
                <w:spacing w:val="-10"/>
                <w:sz w:val="24"/>
                <w:szCs w:val="24"/>
                <w:lang w:val="en-US" w:eastAsia="zh-CN"/>
              </w:rPr>
              <w:t>2、</w:t>
            </w:r>
            <w:r>
              <w:rPr>
                <w:rFonts w:hint="default" w:ascii="Times New Roman" w:hAnsi="Times New Roman" w:eastAsia="宋体" w:cs="Times New Roman"/>
                <w:b/>
                <w:bCs w:val="0"/>
                <w:spacing w:val="-10"/>
                <w:sz w:val="24"/>
                <w:szCs w:val="24"/>
                <w:lang w:val="en-US" w:eastAsia="zh-CN"/>
              </w:rPr>
              <w:t>废气</w:t>
            </w:r>
          </w:p>
          <w:p>
            <w:pPr>
              <w:adjustRightInd w:val="0"/>
              <w:spacing w:line="360" w:lineRule="auto"/>
              <w:ind w:firstLine="480" w:firstLineChars="200"/>
              <w:textAlignment w:val="baseline"/>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w:t>
            </w:r>
            <w:r>
              <w:rPr>
                <w:rFonts w:hint="eastAsia" w:cs="Times New Roman"/>
                <w:color w:val="auto"/>
                <w:kern w:val="0"/>
                <w:sz w:val="24"/>
                <w:szCs w:val="24"/>
                <w:lang w:val="en-US" w:eastAsia="zh-CN"/>
              </w:rPr>
              <w:t>1</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废气排放量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项目废气污染源参数见表4-</w:t>
            </w:r>
            <w:r>
              <w:rPr>
                <w:rFonts w:hint="eastAsia" w:cs="Times New Roman"/>
                <w:color w:val="auto"/>
                <w:sz w:val="24"/>
                <w:szCs w:val="24"/>
                <w:lang w:val="en-US" w:eastAsia="zh-CN"/>
              </w:rPr>
              <w:t>6</w:t>
            </w:r>
            <w:r>
              <w:rPr>
                <w:rFonts w:hint="default" w:ascii="Times New Roman" w:hAnsi="Times New Roman" w:cs="Times New Roman"/>
                <w:color w:val="auto"/>
                <w:sz w:val="24"/>
                <w:szCs w:val="24"/>
                <w:lang w:val="en-US" w:eastAsia="zh-CN"/>
              </w:rPr>
              <w:t>，表4-</w:t>
            </w:r>
            <w:r>
              <w:rPr>
                <w:rFonts w:hint="eastAsia" w:cs="Times New Roman"/>
                <w:color w:val="auto"/>
                <w:sz w:val="24"/>
                <w:szCs w:val="24"/>
                <w:lang w:val="en-US" w:eastAsia="zh-CN"/>
              </w:rPr>
              <w:t>7</w:t>
            </w:r>
            <w:r>
              <w:rPr>
                <w:rFonts w:hint="default" w:ascii="Times New Roman" w:hAnsi="Times New Roman" w:cs="Times New Roman"/>
                <w:color w:val="auto"/>
                <w:sz w:val="24"/>
                <w:szCs w:val="24"/>
                <w:lang w:val="en-US" w:eastAsia="zh-CN"/>
              </w:rPr>
              <w:t>。</w:t>
            </w:r>
          </w:p>
          <w:p>
            <w:pPr>
              <w:adjustRightInd w:val="0"/>
              <w:snapToGrid w:val="0"/>
              <w:spacing w:line="240" w:lineRule="atLeast"/>
              <w:jc w:val="center"/>
              <w:rPr>
                <w:b/>
                <w:szCs w:val="21"/>
              </w:rPr>
            </w:pPr>
            <w:r>
              <w:rPr>
                <w:b/>
                <w:szCs w:val="21"/>
              </w:rPr>
              <w:t>表</w:t>
            </w:r>
            <w:r>
              <w:rPr>
                <w:rFonts w:hint="eastAsia"/>
                <w:b/>
                <w:szCs w:val="21"/>
              </w:rPr>
              <w:t>4-</w:t>
            </w:r>
            <w:r>
              <w:rPr>
                <w:rFonts w:hint="eastAsia"/>
                <w:b/>
                <w:szCs w:val="21"/>
                <w:lang w:val="en-US" w:eastAsia="zh-CN"/>
              </w:rPr>
              <w:t>6</w:t>
            </w:r>
            <w:r>
              <w:rPr>
                <w:b/>
                <w:szCs w:val="21"/>
              </w:rPr>
              <w:t xml:space="preserve"> </w:t>
            </w:r>
            <w:r>
              <w:rPr>
                <w:rFonts w:hint="eastAsia"/>
                <w:b/>
                <w:szCs w:val="21"/>
              </w:rPr>
              <w:t xml:space="preserve"> 项目正常工况下有组织废气污染源源强核算结果及相关参数一览表</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21"/>
              <w:gridCol w:w="488"/>
              <w:gridCol w:w="686"/>
              <w:gridCol w:w="728"/>
              <w:gridCol w:w="606"/>
              <w:gridCol w:w="685"/>
              <w:gridCol w:w="600"/>
              <w:gridCol w:w="419"/>
              <w:gridCol w:w="488"/>
              <w:gridCol w:w="488"/>
              <w:gridCol w:w="548"/>
              <w:gridCol w:w="728"/>
              <w:gridCol w:w="656"/>
              <w:gridCol w:w="659"/>
              <w:gridCol w:w="757"/>
              <w:gridCol w:w="488"/>
              <w:gridCol w:w="520"/>
              <w:gridCol w:w="498"/>
              <w:gridCol w:w="488"/>
              <w:gridCol w:w="1345"/>
              <w:gridCol w:w="728"/>
              <w:gridCol w:w="61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jc w:val="center"/>
              </w:trPr>
              <w:tc>
                <w:tcPr>
                  <w:tcW w:w="224"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产排污环节</w:t>
                  </w:r>
                </w:p>
              </w:tc>
              <w:tc>
                <w:tcPr>
                  <w:tcW w:w="176"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排放形式</w:t>
                  </w:r>
                </w:p>
              </w:tc>
              <w:tc>
                <w:tcPr>
                  <w:tcW w:w="247"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污染物</w:t>
                  </w:r>
                </w:p>
                <w:p>
                  <w:pPr>
                    <w:adjustRightInd w:val="0"/>
                    <w:snapToGrid w:val="0"/>
                    <w:spacing w:line="240" w:lineRule="exact"/>
                    <w:jc w:val="center"/>
                    <w:rPr>
                      <w:b/>
                      <w:bCs/>
                      <w:color w:val="auto"/>
                      <w:sz w:val="18"/>
                      <w:szCs w:val="18"/>
                    </w:rPr>
                  </w:pPr>
                  <w:r>
                    <w:rPr>
                      <w:b/>
                      <w:bCs/>
                      <w:color w:val="auto"/>
                      <w:sz w:val="18"/>
                      <w:szCs w:val="18"/>
                    </w:rPr>
                    <w:t>种类</w:t>
                  </w:r>
                </w:p>
              </w:tc>
              <w:tc>
                <w:tcPr>
                  <w:tcW w:w="729" w:type="pct"/>
                  <w:gridSpan w:val="3"/>
                  <w:noWrap w:val="0"/>
                  <w:vAlign w:val="center"/>
                </w:tcPr>
                <w:p>
                  <w:pPr>
                    <w:adjustRightInd w:val="0"/>
                    <w:snapToGrid w:val="0"/>
                    <w:spacing w:line="240" w:lineRule="exact"/>
                    <w:jc w:val="center"/>
                    <w:rPr>
                      <w:b/>
                      <w:bCs/>
                      <w:color w:val="auto"/>
                      <w:sz w:val="18"/>
                      <w:szCs w:val="18"/>
                    </w:rPr>
                  </w:pPr>
                  <w:r>
                    <w:rPr>
                      <w:b/>
                      <w:bCs/>
                      <w:color w:val="auto"/>
                      <w:sz w:val="18"/>
                      <w:szCs w:val="18"/>
                    </w:rPr>
                    <w:t>污染物产生量和浓度</w:t>
                  </w:r>
                </w:p>
              </w:tc>
              <w:tc>
                <w:tcPr>
                  <w:tcW w:w="919" w:type="pct"/>
                  <w:gridSpan w:val="5"/>
                  <w:noWrap w:val="0"/>
                  <w:vAlign w:val="center"/>
                </w:tcPr>
                <w:p>
                  <w:pPr>
                    <w:adjustRightInd w:val="0"/>
                    <w:snapToGrid w:val="0"/>
                    <w:spacing w:line="240" w:lineRule="exact"/>
                    <w:jc w:val="center"/>
                    <w:rPr>
                      <w:b/>
                      <w:bCs/>
                      <w:color w:val="auto"/>
                      <w:sz w:val="18"/>
                      <w:szCs w:val="18"/>
                    </w:rPr>
                  </w:pPr>
                  <w:r>
                    <w:rPr>
                      <w:b/>
                      <w:bCs/>
                      <w:color w:val="auto"/>
                      <w:sz w:val="18"/>
                      <w:szCs w:val="18"/>
                    </w:rPr>
                    <w:t>污染治理设施</w:t>
                  </w:r>
                </w:p>
              </w:tc>
              <w:tc>
                <w:tcPr>
                  <w:tcW w:w="738" w:type="pct"/>
                  <w:gridSpan w:val="3"/>
                  <w:noWrap w:val="0"/>
                  <w:vAlign w:val="center"/>
                </w:tcPr>
                <w:p>
                  <w:pPr>
                    <w:adjustRightInd w:val="0"/>
                    <w:snapToGrid w:val="0"/>
                    <w:spacing w:line="240" w:lineRule="exact"/>
                    <w:jc w:val="center"/>
                    <w:rPr>
                      <w:b/>
                      <w:bCs/>
                      <w:color w:val="auto"/>
                      <w:sz w:val="18"/>
                      <w:szCs w:val="18"/>
                    </w:rPr>
                  </w:pPr>
                  <w:r>
                    <w:rPr>
                      <w:b/>
                      <w:bCs/>
                      <w:color w:val="auto"/>
                      <w:sz w:val="18"/>
                      <w:szCs w:val="18"/>
                    </w:rPr>
                    <w:t>污染物排放量和浓度</w:t>
                  </w:r>
                </w:p>
              </w:tc>
              <w:tc>
                <w:tcPr>
                  <w:tcW w:w="1480" w:type="pct"/>
                  <w:gridSpan w:val="6"/>
                  <w:noWrap w:val="0"/>
                  <w:vAlign w:val="center"/>
                </w:tcPr>
                <w:p>
                  <w:pPr>
                    <w:adjustRightInd w:val="0"/>
                    <w:snapToGrid w:val="0"/>
                    <w:spacing w:line="240" w:lineRule="exact"/>
                    <w:jc w:val="center"/>
                    <w:rPr>
                      <w:b/>
                      <w:bCs/>
                      <w:color w:val="auto"/>
                      <w:sz w:val="18"/>
                      <w:szCs w:val="18"/>
                    </w:rPr>
                  </w:pPr>
                  <w:r>
                    <w:rPr>
                      <w:b/>
                      <w:bCs/>
                      <w:color w:val="auto"/>
                      <w:sz w:val="18"/>
                      <w:szCs w:val="18"/>
                    </w:rPr>
                    <w:t>排放口基本情况</w:t>
                  </w:r>
                </w:p>
              </w:tc>
              <w:tc>
                <w:tcPr>
                  <w:tcW w:w="483" w:type="pct"/>
                  <w:gridSpan w:val="2"/>
                  <w:noWrap w:val="0"/>
                  <w:vAlign w:val="center"/>
                </w:tcPr>
                <w:p>
                  <w:pPr>
                    <w:adjustRightInd w:val="0"/>
                    <w:snapToGrid w:val="0"/>
                    <w:spacing w:line="240" w:lineRule="exact"/>
                    <w:jc w:val="center"/>
                    <w:rPr>
                      <w:b/>
                      <w:bCs/>
                      <w:color w:val="auto"/>
                      <w:sz w:val="18"/>
                      <w:szCs w:val="18"/>
                    </w:rPr>
                  </w:pPr>
                  <w:r>
                    <w:rPr>
                      <w:b/>
                      <w:bCs/>
                      <w:color w:val="auto"/>
                      <w:sz w:val="18"/>
                      <w:szCs w:val="18"/>
                    </w:rPr>
                    <w:t>排放标准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jc w:val="center"/>
              </w:trPr>
              <w:tc>
                <w:tcPr>
                  <w:tcW w:w="224" w:type="pct"/>
                  <w:vMerge w:val="continue"/>
                  <w:noWrap w:val="0"/>
                  <w:vAlign w:val="center"/>
                </w:tcPr>
                <w:p>
                  <w:pPr>
                    <w:adjustRightInd w:val="0"/>
                    <w:snapToGrid w:val="0"/>
                    <w:spacing w:line="240" w:lineRule="exact"/>
                    <w:jc w:val="center"/>
                    <w:rPr>
                      <w:b/>
                      <w:bCs/>
                      <w:color w:val="auto"/>
                      <w:sz w:val="18"/>
                      <w:szCs w:val="18"/>
                    </w:rPr>
                  </w:pPr>
                </w:p>
              </w:tc>
              <w:tc>
                <w:tcPr>
                  <w:tcW w:w="176" w:type="pct"/>
                  <w:vMerge w:val="continue"/>
                  <w:noWrap w:val="0"/>
                  <w:vAlign w:val="center"/>
                </w:tcPr>
                <w:p>
                  <w:pPr>
                    <w:adjustRightInd w:val="0"/>
                    <w:snapToGrid w:val="0"/>
                    <w:spacing w:line="240" w:lineRule="exact"/>
                    <w:jc w:val="center"/>
                    <w:rPr>
                      <w:b/>
                      <w:bCs/>
                      <w:color w:val="auto"/>
                      <w:sz w:val="18"/>
                      <w:szCs w:val="18"/>
                    </w:rPr>
                  </w:pPr>
                </w:p>
              </w:tc>
              <w:tc>
                <w:tcPr>
                  <w:tcW w:w="247" w:type="pct"/>
                  <w:vMerge w:val="continue"/>
                  <w:noWrap w:val="0"/>
                  <w:vAlign w:val="center"/>
                </w:tcPr>
                <w:p>
                  <w:pPr>
                    <w:adjustRightInd w:val="0"/>
                    <w:snapToGrid w:val="0"/>
                    <w:spacing w:line="240" w:lineRule="exact"/>
                    <w:jc w:val="center"/>
                    <w:rPr>
                      <w:b/>
                      <w:bCs/>
                      <w:color w:val="auto"/>
                      <w:sz w:val="18"/>
                      <w:szCs w:val="18"/>
                    </w:rPr>
                  </w:pPr>
                </w:p>
              </w:tc>
              <w:tc>
                <w:tcPr>
                  <w:tcW w:w="263"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产生浓度</w:t>
                  </w:r>
                </w:p>
                <w:p>
                  <w:pPr>
                    <w:adjustRightInd w:val="0"/>
                    <w:snapToGrid w:val="0"/>
                    <w:spacing w:line="240" w:lineRule="exact"/>
                    <w:jc w:val="center"/>
                    <w:rPr>
                      <w:b/>
                      <w:bCs/>
                      <w:color w:val="auto"/>
                      <w:sz w:val="18"/>
                      <w:szCs w:val="18"/>
                    </w:rPr>
                  </w:pPr>
                  <w:r>
                    <w:rPr>
                      <w:b/>
                      <w:bCs/>
                      <w:color w:val="auto"/>
                      <w:sz w:val="18"/>
                      <w:szCs w:val="18"/>
                    </w:rPr>
                    <w:t>mg/m</w:t>
                  </w:r>
                  <w:r>
                    <w:rPr>
                      <w:b/>
                      <w:bCs/>
                      <w:color w:val="auto"/>
                      <w:sz w:val="18"/>
                      <w:szCs w:val="18"/>
                      <w:vertAlign w:val="superscript"/>
                    </w:rPr>
                    <w:t>3</w:t>
                  </w:r>
                </w:p>
              </w:tc>
              <w:tc>
                <w:tcPr>
                  <w:tcW w:w="466" w:type="pct"/>
                  <w:gridSpan w:val="2"/>
                  <w:noWrap w:val="0"/>
                  <w:vAlign w:val="center"/>
                </w:tcPr>
                <w:p>
                  <w:pPr>
                    <w:adjustRightInd w:val="0"/>
                    <w:snapToGrid w:val="0"/>
                    <w:spacing w:line="240" w:lineRule="exact"/>
                    <w:jc w:val="center"/>
                    <w:rPr>
                      <w:b/>
                      <w:bCs/>
                      <w:color w:val="auto"/>
                      <w:sz w:val="18"/>
                      <w:szCs w:val="18"/>
                    </w:rPr>
                  </w:pPr>
                  <w:r>
                    <w:rPr>
                      <w:b/>
                      <w:bCs/>
                      <w:color w:val="auto"/>
                      <w:sz w:val="18"/>
                      <w:szCs w:val="18"/>
                    </w:rPr>
                    <w:t>产生量</w:t>
                  </w:r>
                </w:p>
              </w:tc>
              <w:tc>
                <w:tcPr>
                  <w:tcW w:w="216" w:type="pct"/>
                  <w:noWrap w:val="0"/>
                  <w:vAlign w:val="center"/>
                </w:tcPr>
                <w:p>
                  <w:pPr>
                    <w:adjustRightInd w:val="0"/>
                    <w:snapToGrid w:val="0"/>
                    <w:spacing w:line="240" w:lineRule="exact"/>
                    <w:jc w:val="both"/>
                    <w:rPr>
                      <w:rFonts w:hint="default" w:eastAsia="宋体"/>
                      <w:b/>
                      <w:bCs/>
                      <w:color w:val="auto"/>
                      <w:sz w:val="18"/>
                      <w:szCs w:val="18"/>
                      <w:lang w:val="en-US" w:eastAsia="zh-CN"/>
                    </w:rPr>
                  </w:pPr>
                  <w:r>
                    <w:rPr>
                      <w:rFonts w:hint="eastAsia"/>
                      <w:b/>
                      <w:bCs/>
                      <w:color w:val="auto"/>
                      <w:sz w:val="18"/>
                      <w:szCs w:val="18"/>
                      <w:lang w:val="en-US" w:eastAsia="zh-CN"/>
                    </w:rPr>
                    <w:t>风量</w:t>
                  </w:r>
                </w:p>
              </w:tc>
              <w:tc>
                <w:tcPr>
                  <w:tcW w:w="151" w:type="pct"/>
                  <w:noWrap w:val="0"/>
                  <w:vAlign w:val="center"/>
                </w:tcPr>
                <w:p>
                  <w:pPr>
                    <w:adjustRightInd w:val="0"/>
                    <w:snapToGrid w:val="0"/>
                    <w:spacing w:line="240" w:lineRule="exact"/>
                    <w:jc w:val="center"/>
                    <w:rPr>
                      <w:b/>
                      <w:bCs/>
                      <w:color w:val="auto"/>
                      <w:sz w:val="18"/>
                      <w:szCs w:val="18"/>
                    </w:rPr>
                  </w:pPr>
                  <w:r>
                    <w:rPr>
                      <w:b/>
                      <w:bCs/>
                      <w:color w:val="auto"/>
                      <w:sz w:val="18"/>
                      <w:szCs w:val="18"/>
                    </w:rPr>
                    <w:t>收集效率</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去除效率</w:t>
                  </w:r>
                </w:p>
              </w:tc>
              <w:tc>
                <w:tcPr>
                  <w:tcW w:w="176"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是否可行技术</w:t>
                  </w:r>
                </w:p>
              </w:tc>
              <w:tc>
                <w:tcPr>
                  <w:tcW w:w="198" w:type="pct"/>
                  <w:vMerge w:val="restart"/>
                  <w:noWrap w:val="0"/>
                  <w:vAlign w:val="center"/>
                </w:tcPr>
                <w:p>
                  <w:pPr>
                    <w:adjustRightInd w:val="0"/>
                    <w:snapToGrid w:val="0"/>
                    <w:spacing w:line="240" w:lineRule="exact"/>
                    <w:jc w:val="center"/>
                    <w:rPr>
                      <w:rFonts w:hint="eastAsia"/>
                      <w:b/>
                      <w:bCs/>
                      <w:color w:val="auto"/>
                      <w:sz w:val="18"/>
                      <w:szCs w:val="18"/>
                    </w:rPr>
                  </w:pPr>
                  <w:r>
                    <w:rPr>
                      <w:rFonts w:hint="eastAsia"/>
                      <w:b/>
                      <w:bCs/>
                      <w:color w:val="auto"/>
                      <w:sz w:val="18"/>
                      <w:szCs w:val="18"/>
                    </w:rPr>
                    <w:t>处理工艺</w:t>
                  </w:r>
                </w:p>
              </w:tc>
              <w:tc>
                <w:tcPr>
                  <w:tcW w:w="263"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排放浓度</w:t>
                  </w:r>
                </w:p>
                <w:p>
                  <w:pPr>
                    <w:adjustRightInd w:val="0"/>
                    <w:snapToGrid w:val="0"/>
                    <w:spacing w:line="240" w:lineRule="exact"/>
                    <w:jc w:val="center"/>
                    <w:rPr>
                      <w:b/>
                      <w:bCs/>
                      <w:color w:val="auto"/>
                      <w:sz w:val="18"/>
                      <w:szCs w:val="18"/>
                    </w:rPr>
                  </w:pPr>
                  <w:r>
                    <w:rPr>
                      <w:b/>
                      <w:bCs/>
                      <w:color w:val="auto"/>
                      <w:sz w:val="18"/>
                      <w:szCs w:val="18"/>
                    </w:rPr>
                    <w:t>mg/m</w:t>
                  </w:r>
                  <w:r>
                    <w:rPr>
                      <w:b/>
                      <w:bCs/>
                      <w:color w:val="auto"/>
                      <w:sz w:val="18"/>
                      <w:szCs w:val="18"/>
                      <w:vertAlign w:val="superscript"/>
                    </w:rPr>
                    <w:t>3</w:t>
                  </w:r>
                </w:p>
              </w:tc>
              <w:tc>
                <w:tcPr>
                  <w:tcW w:w="475" w:type="pct"/>
                  <w:gridSpan w:val="2"/>
                  <w:noWrap w:val="0"/>
                  <w:vAlign w:val="center"/>
                </w:tcPr>
                <w:p>
                  <w:pPr>
                    <w:adjustRightInd w:val="0"/>
                    <w:snapToGrid w:val="0"/>
                    <w:spacing w:line="240" w:lineRule="exact"/>
                    <w:jc w:val="center"/>
                    <w:rPr>
                      <w:b/>
                      <w:bCs/>
                      <w:color w:val="auto"/>
                      <w:sz w:val="18"/>
                      <w:szCs w:val="18"/>
                    </w:rPr>
                  </w:pPr>
                  <w:r>
                    <w:rPr>
                      <w:b/>
                      <w:bCs/>
                      <w:color w:val="auto"/>
                      <w:sz w:val="18"/>
                      <w:szCs w:val="18"/>
                    </w:rPr>
                    <w:t>排放量</w:t>
                  </w:r>
                </w:p>
              </w:tc>
              <w:tc>
                <w:tcPr>
                  <w:tcW w:w="273" w:type="pct"/>
                  <w:noWrap w:val="0"/>
                  <w:vAlign w:val="center"/>
                </w:tcPr>
                <w:p>
                  <w:pPr>
                    <w:adjustRightInd w:val="0"/>
                    <w:snapToGrid w:val="0"/>
                    <w:spacing w:line="240" w:lineRule="exact"/>
                    <w:jc w:val="center"/>
                    <w:rPr>
                      <w:b/>
                      <w:bCs/>
                      <w:color w:val="auto"/>
                      <w:spacing w:val="-10"/>
                      <w:sz w:val="18"/>
                      <w:szCs w:val="18"/>
                    </w:rPr>
                  </w:pPr>
                  <w:r>
                    <w:rPr>
                      <w:b/>
                      <w:bCs/>
                      <w:color w:val="auto"/>
                      <w:spacing w:val="-10"/>
                      <w:sz w:val="18"/>
                      <w:szCs w:val="18"/>
                    </w:rPr>
                    <w:t>编号及名称</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高度</w:t>
                  </w:r>
                </w:p>
              </w:tc>
              <w:tc>
                <w:tcPr>
                  <w:tcW w:w="187" w:type="pct"/>
                  <w:noWrap w:val="0"/>
                  <w:vAlign w:val="center"/>
                </w:tcPr>
                <w:p>
                  <w:pPr>
                    <w:adjustRightInd w:val="0"/>
                    <w:snapToGrid w:val="0"/>
                    <w:spacing w:line="240" w:lineRule="exact"/>
                    <w:jc w:val="center"/>
                    <w:rPr>
                      <w:b/>
                      <w:bCs/>
                      <w:color w:val="auto"/>
                      <w:sz w:val="18"/>
                      <w:szCs w:val="18"/>
                    </w:rPr>
                  </w:pPr>
                  <w:r>
                    <w:rPr>
                      <w:b/>
                      <w:bCs/>
                      <w:color w:val="auto"/>
                      <w:sz w:val="18"/>
                      <w:szCs w:val="18"/>
                    </w:rPr>
                    <w:t>内径</w:t>
                  </w:r>
                </w:p>
              </w:tc>
              <w:tc>
                <w:tcPr>
                  <w:tcW w:w="179" w:type="pct"/>
                  <w:noWrap w:val="0"/>
                  <w:vAlign w:val="center"/>
                </w:tcPr>
                <w:p>
                  <w:pPr>
                    <w:adjustRightInd w:val="0"/>
                    <w:snapToGrid w:val="0"/>
                    <w:spacing w:line="240" w:lineRule="exact"/>
                    <w:jc w:val="center"/>
                    <w:rPr>
                      <w:b/>
                      <w:bCs/>
                      <w:color w:val="auto"/>
                      <w:sz w:val="18"/>
                      <w:szCs w:val="18"/>
                    </w:rPr>
                  </w:pPr>
                  <w:r>
                    <w:rPr>
                      <w:b/>
                      <w:bCs/>
                      <w:color w:val="auto"/>
                      <w:sz w:val="18"/>
                      <w:szCs w:val="18"/>
                    </w:rPr>
                    <w:t>温度</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类型</w:t>
                  </w:r>
                </w:p>
              </w:tc>
              <w:tc>
                <w:tcPr>
                  <w:tcW w:w="486" w:type="pct"/>
                  <w:noWrap w:val="0"/>
                  <w:vAlign w:val="center"/>
                </w:tcPr>
                <w:p>
                  <w:pPr>
                    <w:adjustRightInd w:val="0"/>
                    <w:snapToGrid w:val="0"/>
                    <w:spacing w:line="240" w:lineRule="exact"/>
                    <w:jc w:val="center"/>
                    <w:rPr>
                      <w:b/>
                      <w:bCs/>
                      <w:color w:val="auto"/>
                      <w:sz w:val="18"/>
                      <w:szCs w:val="18"/>
                    </w:rPr>
                  </w:pPr>
                  <w:r>
                    <w:rPr>
                      <w:b/>
                      <w:bCs/>
                      <w:color w:val="auto"/>
                      <w:sz w:val="18"/>
                      <w:szCs w:val="18"/>
                    </w:rPr>
                    <w:t>地理</w:t>
                  </w:r>
                </w:p>
                <w:p>
                  <w:pPr>
                    <w:adjustRightInd w:val="0"/>
                    <w:snapToGrid w:val="0"/>
                    <w:spacing w:line="240" w:lineRule="exact"/>
                    <w:jc w:val="center"/>
                    <w:rPr>
                      <w:b/>
                      <w:bCs/>
                      <w:color w:val="auto"/>
                      <w:sz w:val="18"/>
                      <w:szCs w:val="18"/>
                    </w:rPr>
                  </w:pPr>
                  <w:r>
                    <w:rPr>
                      <w:b/>
                      <w:bCs/>
                      <w:color w:val="auto"/>
                      <w:sz w:val="18"/>
                      <w:szCs w:val="18"/>
                    </w:rPr>
                    <w:t>坐标</w:t>
                  </w:r>
                </w:p>
              </w:tc>
              <w:tc>
                <w:tcPr>
                  <w:tcW w:w="263"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浓度</w:t>
                  </w:r>
                </w:p>
                <w:p>
                  <w:pPr>
                    <w:adjustRightInd w:val="0"/>
                    <w:snapToGrid w:val="0"/>
                    <w:spacing w:line="240" w:lineRule="exact"/>
                    <w:jc w:val="center"/>
                    <w:rPr>
                      <w:b/>
                      <w:bCs/>
                      <w:color w:val="auto"/>
                      <w:sz w:val="18"/>
                      <w:szCs w:val="18"/>
                    </w:rPr>
                  </w:pPr>
                  <w:r>
                    <w:rPr>
                      <w:b/>
                      <w:bCs/>
                      <w:color w:val="auto"/>
                      <w:sz w:val="18"/>
                      <w:szCs w:val="18"/>
                    </w:rPr>
                    <w:t>mg/m</w:t>
                  </w:r>
                  <w:r>
                    <w:rPr>
                      <w:b/>
                      <w:bCs/>
                      <w:color w:val="auto"/>
                      <w:sz w:val="18"/>
                      <w:szCs w:val="18"/>
                      <w:vertAlign w:val="superscript"/>
                    </w:rPr>
                    <w:t>3</w:t>
                  </w:r>
                </w:p>
              </w:tc>
              <w:tc>
                <w:tcPr>
                  <w:tcW w:w="220" w:type="pct"/>
                  <w:vMerge w:val="restart"/>
                  <w:noWrap w:val="0"/>
                  <w:vAlign w:val="center"/>
                </w:tcPr>
                <w:p>
                  <w:pPr>
                    <w:adjustRightInd w:val="0"/>
                    <w:snapToGrid w:val="0"/>
                    <w:spacing w:line="240" w:lineRule="exact"/>
                    <w:jc w:val="center"/>
                    <w:rPr>
                      <w:b/>
                      <w:bCs/>
                      <w:color w:val="auto"/>
                      <w:sz w:val="18"/>
                      <w:szCs w:val="18"/>
                    </w:rPr>
                  </w:pPr>
                  <w:r>
                    <w:rPr>
                      <w:b/>
                      <w:bCs/>
                      <w:color w:val="auto"/>
                      <w:sz w:val="18"/>
                      <w:szCs w:val="18"/>
                    </w:rPr>
                    <w:t>速率</w:t>
                  </w:r>
                </w:p>
                <w:p>
                  <w:pPr>
                    <w:adjustRightInd w:val="0"/>
                    <w:snapToGrid w:val="0"/>
                    <w:spacing w:line="240" w:lineRule="exact"/>
                    <w:jc w:val="center"/>
                    <w:rPr>
                      <w:b/>
                      <w:bCs/>
                      <w:color w:val="auto"/>
                      <w:sz w:val="18"/>
                      <w:szCs w:val="18"/>
                    </w:rPr>
                  </w:pPr>
                  <w:r>
                    <w:rPr>
                      <w:b/>
                      <w:bCs/>
                      <w:color w:val="auto"/>
                      <w:sz w:val="18"/>
                      <w:szCs w:val="18"/>
                    </w:rPr>
                    <w:t>kg/h</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jc w:val="center"/>
              </w:trPr>
              <w:tc>
                <w:tcPr>
                  <w:tcW w:w="224" w:type="pct"/>
                  <w:vMerge w:val="continue"/>
                  <w:noWrap w:val="0"/>
                  <w:vAlign w:val="center"/>
                </w:tcPr>
                <w:p>
                  <w:pPr>
                    <w:adjustRightInd w:val="0"/>
                    <w:snapToGrid w:val="0"/>
                    <w:spacing w:line="240" w:lineRule="exact"/>
                    <w:jc w:val="center"/>
                    <w:rPr>
                      <w:bCs/>
                      <w:color w:val="auto"/>
                      <w:sz w:val="18"/>
                      <w:szCs w:val="18"/>
                    </w:rPr>
                  </w:pPr>
                </w:p>
              </w:tc>
              <w:tc>
                <w:tcPr>
                  <w:tcW w:w="176" w:type="pct"/>
                  <w:vMerge w:val="continue"/>
                  <w:noWrap w:val="0"/>
                  <w:vAlign w:val="center"/>
                </w:tcPr>
                <w:p>
                  <w:pPr>
                    <w:adjustRightInd w:val="0"/>
                    <w:snapToGrid w:val="0"/>
                    <w:spacing w:line="240" w:lineRule="exact"/>
                    <w:jc w:val="center"/>
                    <w:rPr>
                      <w:bCs/>
                      <w:color w:val="auto"/>
                      <w:sz w:val="18"/>
                      <w:szCs w:val="18"/>
                    </w:rPr>
                  </w:pPr>
                </w:p>
              </w:tc>
              <w:tc>
                <w:tcPr>
                  <w:tcW w:w="247" w:type="pct"/>
                  <w:vMerge w:val="continue"/>
                  <w:noWrap w:val="0"/>
                  <w:vAlign w:val="center"/>
                </w:tcPr>
                <w:p>
                  <w:pPr>
                    <w:adjustRightInd w:val="0"/>
                    <w:snapToGrid w:val="0"/>
                    <w:spacing w:line="240" w:lineRule="exact"/>
                    <w:jc w:val="center"/>
                    <w:rPr>
                      <w:bCs/>
                      <w:color w:val="auto"/>
                      <w:sz w:val="18"/>
                      <w:szCs w:val="18"/>
                    </w:rPr>
                  </w:pPr>
                </w:p>
              </w:tc>
              <w:tc>
                <w:tcPr>
                  <w:tcW w:w="263" w:type="pct"/>
                  <w:vMerge w:val="continue"/>
                  <w:noWrap w:val="0"/>
                  <w:vAlign w:val="center"/>
                </w:tcPr>
                <w:p>
                  <w:pPr>
                    <w:adjustRightInd w:val="0"/>
                    <w:snapToGrid w:val="0"/>
                    <w:spacing w:line="240" w:lineRule="exact"/>
                    <w:jc w:val="center"/>
                    <w:rPr>
                      <w:bCs/>
                      <w:color w:val="auto"/>
                      <w:sz w:val="18"/>
                      <w:szCs w:val="18"/>
                    </w:rPr>
                  </w:pPr>
                </w:p>
              </w:tc>
              <w:tc>
                <w:tcPr>
                  <w:tcW w:w="219" w:type="pct"/>
                  <w:noWrap w:val="0"/>
                  <w:vAlign w:val="center"/>
                </w:tcPr>
                <w:p>
                  <w:pPr>
                    <w:adjustRightInd w:val="0"/>
                    <w:snapToGrid w:val="0"/>
                    <w:spacing w:line="240" w:lineRule="exact"/>
                    <w:jc w:val="center"/>
                    <w:rPr>
                      <w:b/>
                      <w:bCs/>
                      <w:color w:val="auto"/>
                      <w:sz w:val="18"/>
                      <w:szCs w:val="18"/>
                    </w:rPr>
                  </w:pPr>
                  <w:r>
                    <w:rPr>
                      <w:b/>
                      <w:bCs/>
                      <w:color w:val="auto"/>
                      <w:sz w:val="18"/>
                      <w:szCs w:val="18"/>
                    </w:rPr>
                    <w:t>kg/h</w:t>
                  </w:r>
                </w:p>
              </w:tc>
              <w:tc>
                <w:tcPr>
                  <w:tcW w:w="247" w:type="pct"/>
                  <w:noWrap w:val="0"/>
                  <w:vAlign w:val="center"/>
                </w:tcPr>
                <w:p>
                  <w:pPr>
                    <w:adjustRightInd w:val="0"/>
                    <w:snapToGrid w:val="0"/>
                    <w:spacing w:line="240" w:lineRule="exact"/>
                    <w:jc w:val="center"/>
                    <w:rPr>
                      <w:b/>
                      <w:bCs/>
                      <w:color w:val="auto"/>
                      <w:sz w:val="18"/>
                      <w:szCs w:val="18"/>
                    </w:rPr>
                  </w:pPr>
                  <w:r>
                    <w:rPr>
                      <w:rFonts w:hint="eastAsia"/>
                      <w:b/>
                      <w:bCs/>
                      <w:color w:val="auto"/>
                      <w:sz w:val="18"/>
                      <w:szCs w:val="18"/>
                    </w:rPr>
                    <w:t>t</w:t>
                  </w:r>
                  <w:r>
                    <w:rPr>
                      <w:b/>
                      <w:bCs/>
                      <w:color w:val="auto"/>
                      <w:sz w:val="18"/>
                      <w:szCs w:val="18"/>
                    </w:rPr>
                    <w:t>/a</w:t>
                  </w:r>
                </w:p>
              </w:tc>
              <w:tc>
                <w:tcPr>
                  <w:tcW w:w="216" w:type="pct"/>
                  <w:noWrap w:val="0"/>
                  <w:vAlign w:val="center"/>
                </w:tcPr>
                <w:p>
                  <w:pPr>
                    <w:adjustRightInd w:val="0"/>
                    <w:snapToGrid w:val="0"/>
                    <w:spacing w:line="240" w:lineRule="exact"/>
                    <w:jc w:val="center"/>
                    <w:rPr>
                      <w:b/>
                      <w:bCs/>
                      <w:color w:val="auto"/>
                      <w:sz w:val="18"/>
                      <w:szCs w:val="18"/>
                    </w:rPr>
                  </w:pPr>
                  <w:r>
                    <w:rPr>
                      <w:b/>
                      <w:bCs/>
                      <w:color w:val="auto"/>
                      <w:sz w:val="18"/>
                      <w:szCs w:val="18"/>
                    </w:rPr>
                    <w:t>m</w:t>
                  </w:r>
                  <w:r>
                    <w:rPr>
                      <w:b/>
                      <w:bCs/>
                      <w:color w:val="auto"/>
                      <w:sz w:val="18"/>
                      <w:szCs w:val="18"/>
                      <w:vertAlign w:val="superscript"/>
                    </w:rPr>
                    <w:t>3</w:t>
                  </w:r>
                  <w:r>
                    <w:rPr>
                      <w:b/>
                      <w:bCs/>
                      <w:color w:val="auto"/>
                      <w:sz w:val="18"/>
                      <w:szCs w:val="18"/>
                    </w:rPr>
                    <w:t>/h</w:t>
                  </w:r>
                </w:p>
              </w:tc>
              <w:tc>
                <w:tcPr>
                  <w:tcW w:w="151"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vMerge w:val="continue"/>
                  <w:noWrap w:val="0"/>
                  <w:vAlign w:val="center"/>
                </w:tcPr>
                <w:p>
                  <w:pPr>
                    <w:adjustRightInd w:val="0"/>
                    <w:snapToGrid w:val="0"/>
                    <w:spacing w:line="240" w:lineRule="exact"/>
                    <w:jc w:val="center"/>
                    <w:rPr>
                      <w:bCs/>
                      <w:color w:val="auto"/>
                      <w:sz w:val="18"/>
                      <w:szCs w:val="18"/>
                    </w:rPr>
                  </w:pPr>
                </w:p>
              </w:tc>
              <w:tc>
                <w:tcPr>
                  <w:tcW w:w="198" w:type="pct"/>
                  <w:vMerge w:val="continue"/>
                  <w:noWrap w:val="0"/>
                  <w:vAlign w:val="center"/>
                </w:tcPr>
                <w:p>
                  <w:pPr>
                    <w:adjustRightInd w:val="0"/>
                    <w:snapToGrid w:val="0"/>
                    <w:spacing w:line="240" w:lineRule="exact"/>
                    <w:jc w:val="center"/>
                    <w:rPr>
                      <w:bCs/>
                      <w:color w:val="auto"/>
                      <w:sz w:val="18"/>
                      <w:szCs w:val="18"/>
                    </w:rPr>
                  </w:pPr>
                </w:p>
              </w:tc>
              <w:tc>
                <w:tcPr>
                  <w:tcW w:w="263" w:type="pct"/>
                  <w:vMerge w:val="continue"/>
                  <w:noWrap w:val="0"/>
                  <w:vAlign w:val="center"/>
                </w:tcPr>
                <w:p>
                  <w:pPr>
                    <w:adjustRightInd w:val="0"/>
                    <w:snapToGrid w:val="0"/>
                    <w:spacing w:line="240" w:lineRule="exact"/>
                    <w:jc w:val="center"/>
                    <w:rPr>
                      <w:bCs/>
                      <w:color w:val="auto"/>
                      <w:sz w:val="18"/>
                      <w:szCs w:val="18"/>
                    </w:rPr>
                  </w:pPr>
                </w:p>
              </w:tc>
              <w:tc>
                <w:tcPr>
                  <w:tcW w:w="237" w:type="pct"/>
                  <w:noWrap w:val="0"/>
                  <w:vAlign w:val="center"/>
                </w:tcPr>
                <w:p>
                  <w:pPr>
                    <w:adjustRightInd w:val="0"/>
                    <w:snapToGrid w:val="0"/>
                    <w:spacing w:line="240" w:lineRule="exact"/>
                    <w:jc w:val="center"/>
                    <w:rPr>
                      <w:b/>
                      <w:bCs/>
                      <w:color w:val="auto"/>
                      <w:sz w:val="18"/>
                      <w:szCs w:val="18"/>
                    </w:rPr>
                  </w:pPr>
                  <w:r>
                    <w:rPr>
                      <w:b/>
                      <w:bCs/>
                      <w:color w:val="auto"/>
                      <w:sz w:val="18"/>
                      <w:szCs w:val="18"/>
                    </w:rPr>
                    <w:t>kg/h</w:t>
                  </w:r>
                </w:p>
              </w:tc>
              <w:tc>
                <w:tcPr>
                  <w:tcW w:w="238" w:type="pct"/>
                  <w:noWrap w:val="0"/>
                  <w:vAlign w:val="center"/>
                </w:tcPr>
                <w:p>
                  <w:pPr>
                    <w:adjustRightInd w:val="0"/>
                    <w:snapToGrid w:val="0"/>
                    <w:spacing w:line="240" w:lineRule="exact"/>
                    <w:jc w:val="center"/>
                    <w:rPr>
                      <w:b/>
                      <w:bCs/>
                      <w:color w:val="auto"/>
                      <w:sz w:val="18"/>
                      <w:szCs w:val="18"/>
                    </w:rPr>
                  </w:pPr>
                  <w:r>
                    <w:rPr>
                      <w:rFonts w:hint="eastAsia"/>
                      <w:b/>
                      <w:bCs/>
                      <w:color w:val="auto"/>
                      <w:sz w:val="18"/>
                      <w:szCs w:val="18"/>
                    </w:rPr>
                    <w:t>t</w:t>
                  </w:r>
                  <w:r>
                    <w:rPr>
                      <w:b/>
                      <w:bCs/>
                      <w:color w:val="auto"/>
                      <w:sz w:val="18"/>
                      <w:szCs w:val="18"/>
                    </w:rPr>
                    <w:t>/a</w:t>
                  </w:r>
                </w:p>
              </w:tc>
              <w:tc>
                <w:tcPr>
                  <w:tcW w:w="273"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m</w:t>
                  </w:r>
                </w:p>
              </w:tc>
              <w:tc>
                <w:tcPr>
                  <w:tcW w:w="187" w:type="pct"/>
                  <w:noWrap w:val="0"/>
                  <w:vAlign w:val="center"/>
                </w:tcPr>
                <w:p>
                  <w:pPr>
                    <w:adjustRightInd w:val="0"/>
                    <w:snapToGrid w:val="0"/>
                    <w:spacing w:line="240" w:lineRule="exact"/>
                    <w:jc w:val="center"/>
                    <w:rPr>
                      <w:b/>
                      <w:bCs/>
                      <w:color w:val="auto"/>
                      <w:sz w:val="18"/>
                      <w:szCs w:val="18"/>
                    </w:rPr>
                  </w:pPr>
                  <w:r>
                    <w:rPr>
                      <w:b/>
                      <w:bCs/>
                      <w:color w:val="auto"/>
                      <w:sz w:val="18"/>
                      <w:szCs w:val="18"/>
                    </w:rPr>
                    <w:t>m</w:t>
                  </w:r>
                </w:p>
              </w:tc>
              <w:tc>
                <w:tcPr>
                  <w:tcW w:w="179"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176"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486" w:type="pct"/>
                  <w:noWrap w:val="0"/>
                  <w:vAlign w:val="center"/>
                </w:tcPr>
                <w:p>
                  <w:pPr>
                    <w:adjustRightInd w:val="0"/>
                    <w:snapToGrid w:val="0"/>
                    <w:spacing w:line="240" w:lineRule="exact"/>
                    <w:jc w:val="center"/>
                    <w:rPr>
                      <w:b/>
                      <w:bCs/>
                      <w:color w:val="auto"/>
                      <w:sz w:val="18"/>
                      <w:szCs w:val="18"/>
                    </w:rPr>
                  </w:pPr>
                  <w:r>
                    <w:rPr>
                      <w:b/>
                      <w:bCs/>
                      <w:color w:val="auto"/>
                      <w:sz w:val="18"/>
                      <w:szCs w:val="18"/>
                    </w:rPr>
                    <w:t>/</w:t>
                  </w:r>
                </w:p>
              </w:tc>
              <w:tc>
                <w:tcPr>
                  <w:tcW w:w="263" w:type="pct"/>
                  <w:vMerge w:val="continue"/>
                  <w:noWrap w:val="0"/>
                  <w:vAlign w:val="center"/>
                </w:tcPr>
                <w:p>
                  <w:pPr>
                    <w:adjustRightInd w:val="0"/>
                    <w:snapToGrid w:val="0"/>
                    <w:spacing w:line="240" w:lineRule="exact"/>
                    <w:jc w:val="center"/>
                    <w:rPr>
                      <w:bCs/>
                      <w:color w:val="auto"/>
                      <w:sz w:val="18"/>
                      <w:szCs w:val="18"/>
                    </w:rPr>
                  </w:pPr>
                </w:p>
              </w:tc>
              <w:tc>
                <w:tcPr>
                  <w:tcW w:w="220" w:type="pct"/>
                  <w:vMerge w:val="continue"/>
                  <w:noWrap w:val="0"/>
                  <w:vAlign w:val="center"/>
                </w:tcPr>
                <w:p>
                  <w:pPr>
                    <w:adjustRightInd w:val="0"/>
                    <w:snapToGrid w:val="0"/>
                    <w:spacing w:line="240" w:lineRule="exact"/>
                    <w:jc w:val="center"/>
                    <w:rPr>
                      <w:bCs/>
                      <w:color w:val="auto"/>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590" w:hRule="atLeast"/>
                <w:jc w:val="center"/>
              </w:trPr>
              <w:tc>
                <w:tcPr>
                  <w:tcW w:w="224" w:type="pct"/>
                  <w:noWrap w:val="0"/>
                  <w:vAlign w:val="center"/>
                </w:tcPr>
                <w:p>
                  <w:pPr>
                    <w:snapToGrid w:val="0"/>
                    <w:spacing w:line="240" w:lineRule="atLeast"/>
                    <w:jc w:val="center"/>
                    <w:rPr>
                      <w:rFonts w:hint="eastAsia" w:ascii="Times New Roman" w:hAnsi="Times New Roman" w:eastAsia="宋体" w:cs="Times New Roman"/>
                      <w:bCs/>
                      <w:color w:val="auto"/>
                      <w:kern w:val="2"/>
                      <w:sz w:val="18"/>
                      <w:szCs w:val="18"/>
                      <w:lang w:val="en-US" w:eastAsia="zh-CN" w:bidi="ar-SA"/>
                    </w:rPr>
                  </w:pPr>
                  <w:r>
                    <w:rPr>
                      <w:rFonts w:hint="eastAsia" w:ascii="Times New Roman" w:hAnsi="Times New Roman" w:eastAsia="宋体" w:cs="Times New Roman"/>
                      <w:bCs/>
                      <w:color w:val="auto"/>
                      <w:kern w:val="2"/>
                      <w:sz w:val="18"/>
                      <w:szCs w:val="18"/>
                      <w:lang w:val="en-US" w:eastAsia="zh-CN" w:bidi="ar-SA"/>
                    </w:rPr>
                    <w:t>酒精擦拭废气、胶合废气、点胶废气</w:t>
                  </w:r>
                </w:p>
              </w:tc>
              <w:tc>
                <w:tcPr>
                  <w:tcW w:w="176" w:type="pct"/>
                  <w:noWrap w:val="0"/>
                  <w:vAlign w:val="center"/>
                </w:tcPr>
                <w:p>
                  <w:pPr>
                    <w:snapToGrid w:val="0"/>
                    <w:spacing w:line="240" w:lineRule="atLeast"/>
                    <w:jc w:val="center"/>
                    <w:rPr>
                      <w:rFonts w:hint="eastAsia"/>
                      <w:bCs/>
                      <w:color w:val="auto"/>
                      <w:sz w:val="18"/>
                      <w:szCs w:val="18"/>
                    </w:rPr>
                  </w:pPr>
                  <w:r>
                    <w:rPr>
                      <w:rFonts w:hint="eastAsia"/>
                      <w:color w:val="auto"/>
                      <w:sz w:val="18"/>
                      <w:szCs w:val="18"/>
                    </w:rPr>
                    <w:t>有组织</w:t>
                  </w:r>
                </w:p>
              </w:tc>
              <w:tc>
                <w:tcPr>
                  <w:tcW w:w="247" w:type="pct"/>
                  <w:noWrap w:val="0"/>
                  <w:vAlign w:val="center"/>
                </w:tcPr>
                <w:p>
                  <w:pPr>
                    <w:adjustRightInd w:val="0"/>
                    <w:snapToGrid w:val="0"/>
                    <w:spacing w:line="240" w:lineRule="atLeast"/>
                    <w:jc w:val="center"/>
                    <w:rPr>
                      <w:rFonts w:hint="default" w:eastAsia="宋体"/>
                      <w:bCs/>
                      <w:color w:val="auto"/>
                      <w:sz w:val="18"/>
                      <w:szCs w:val="18"/>
                      <w:lang w:val="en-US" w:eastAsia="zh-CN"/>
                    </w:rPr>
                  </w:pPr>
                  <w:r>
                    <w:rPr>
                      <w:rFonts w:hint="eastAsia"/>
                      <w:color w:val="auto"/>
                      <w:sz w:val="18"/>
                      <w:szCs w:val="18"/>
                      <w:lang w:val="en-US" w:eastAsia="zh-CN"/>
                    </w:rPr>
                    <w:t>VOC</w:t>
                  </w:r>
                  <w:r>
                    <w:rPr>
                      <w:rFonts w:hint="eastAsia"/>
                      <w:color w:val="auto"/>
                      <w:sz w:val="18"/>
                      <w:szCs w:val="18"/>
                      <w:vertAlign w:val="subscript"/>
                      <w:lang w:val="en-US" w:eastAsia="zh-CN"/>
                    </w:rPr>
                    <w:t>S</w:t>
                  </w:r>
                </w:p>
              </w:tc>
              <w:tc>
                <w:tcPr>
                  <w:tcW w:w="263"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104</w:t>
                  </w:r>
                </w:p>
              </w:tc>
              <w:tc>
                <w:tcPr>
                  <w:tcW w:w="219"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0.52</w:t>
                  </w:r>
                </w:p>
              </w:tc>
              <w:tc>
                <w:tcPr>
                  <w:tcW w:w="247" w:type="pct"/>
                  <w:noWrap w:val="0"/>
                  <w:vAlign w:val="center"/>
                </w:tcPr>
                <w:p>
                  <w:pPr>
                    <w:widowControl/>
                    <w:snapToGrid w:val="0"/>
                    <w:spacing w:line="240" w:lineRule="atLeast"/>
                    <w:jc w:val="center"/>
                    <w:textAlignment w:val="center"/>
                    <w:rPr>
                      <w:rFonts w:hint="default" w:eastAsia="宋体"/>
                      <w:bCs/>
                      <w:color w:val="auto"/>
                      <w:sz w:val="18"/>
                      <w:szCs w:val="18"/>
                      <w:lang w:val="en-US" w:eastAsia="zh-CN"/>
                    </w:rPr>
                  </w:pPr>
                  <w:r>
                    <w:rPr>
                      <w:rFonts w:hint="eastAsia"/>
                      <w:bCs/>
                      <w:color w:val="auto"/>
                      <w:sz w:val="18"/>
                      <w:szCs w:val="18"/>
                      <w:lang w:val="en-US" w:eastAsia="zh-CN"/>
                    </w:rPr>
                    <w:t>1.7</w:t>
                  </w:r>
                </w:p>
              </w:tc>
              <w:tc>
                <w:tcPr>
                  <w:tcW w:w="216"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eastAsia="宋体"/>
                      <w:bCs/>
                      <w:color w:val="auto"/>
                      <w:sz w:val="18"/>
                      <w:szCs w:val="18"/>
                      <w:lang w:val="en-US" w:eastAsia="zh-CN"/>
                    </w:rPr>
                    <w:t>5000</w:t>
                  </w:r>
                </w:p>
              </w:tc>
              <w:tc>
                <w:tcPr>
                  <w:tcW w:w="151"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eastAsia="宋体"/>
                      <w:bCs/>
                      <w:color w:val="auto"/>
                      <w:sz w:val="18"/>
                      <w:szCs w:val="18"/>
                      <w:lang w:val="en-US" w:eastAsia="zh-CN"/>
                    </w:rPr>
                    <w:t>90</w:t>
                  </w:r>
                </w:p>
              </w:tc>
              <w:tc>
                <w:tcPr>
                  <w:tcW w:w="176"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8</w:t>
                  </w:r>
                  <w:r>
                    <w:rPr>
                      <w:rFonts w:hint="eastAsia" w:eastAsia="宋体"/>
                      <w:bCs/>
                      <w:color w:val="auto"/>
                      <w:sz w:val="18"/>
                      <w:szCs w:val="18"/>
                      <w:lang w:val="en-US" w:eastAsia="zh-CN"/>
                    </w:rPr>
                    <w:t>0</w:t>
                  </w:r>
                </w:p>
              </w:tc>
              <w:tc>
                <w:tcPr>
                  <w:tcW w:w="176" w:type="pct"/>
                  <w:noWrap w:val="0"/>
                  <w:vAlign w:val="center"/>
                </w:tcPr>
                <w:p>
                  <w:pPr>
                    <w:adjustRightInd w:val="0"/>
                    <w:snapToGrid w:val="0"/>
                    <w:spacing w:line="240" w:lineRule="exact"/>
                    <w:jc w:val="center"/>
                    <w:rPr>
                      <w:rFonts w:hint="eastAsia"/>
                      <w:bCs/>
                      <w:color w:val="auto"/>
                      <w:sz w:val="18"/>
                      <w:szCs w:val="18"/>
                    </w:rPr>
                  </w:pPr>
                  <w:r>
                    <w:rPr>
                      <w:rFonts w:hint="eastAsia"/>
                      <w:bCs/>
                      <w:color w:val="auto"/>
                      <w:sz w:val="18"/>
                      <w:szCs w:val="18"/>
                    </w:rPr>
                    <w:t>是</w:t>
                  </w:r>
                </w:p>
              </w:tc>
              <w:tc>
                <w:tcPr>
                  <w:tcW w:w="198" w:type="pct"/>
                  <w:noWrap w:val="0"/>
                  <w:vAlign w:val="center"/>
                </w:tcPr>
                <w:p>
                  <w:pPr>
                    <w:adjustRightInd w:val="0"/>
                    <w:snapToGrid w:val="0"/>
                    <w:spacing w:line="240" w:lineRule="exact"/>
                    <w:jc w:val="center"/>
                    <w:rPr>
                      <w:rFonts w:hint="default"/>
                      <w:bCs/>
                      <w:color w:val="auto"/>
                      <w:sz w:val="18"/>
                      <w:szCs w:val="18"/>
                      <w:lang w:val="en-US"/>
                    </w:rPr>
                  </w:pPr>
                  <w:r>
                    <w:rPr>
                      <w:rFonts w:hint="eastAsia" w:ascii="Times New Roman" w:hAnsi="Times New Roman" w:eastAsia="宋体" w:cs="Times New Roman"/>
                      <w:color w:val="auto"/>
                      <w:sz w:val="18"/>
                      <w:szCs w:val="18"/>
                      <w:shd w:val="clear" w:color="auto" w:fill="auto"/>
                      <w:lang w:val="en-US" w:eastAsia="zh-CN"/>
                    </w:rPr>
                    <w:t>集气罩+二级活性炭</w:t>
                  </w:r>
                </w:p>
              </w:tc>
              <w:tc>
                <w:tcPr>
                  <w:tcW w:w="263" w:type="pct"/>
                  <w:noWrap w:val="0"/>
                  <w:vAlign w:val="center"/>
                </w:tcPr>
                <w:p>
                  <w:pPr>
                    <w:widowControl/>
                    <w:snapToGrid w:val="0"/>
                    <w:spacing w:line="240" w:lineRule="atLeast"/>
                    <w:jc w:val="center"/>
                    <w:textAlignment w:val="center"/>
                    <w:rPr>
                      <w:rFonts w:hint="default" w:eastAsia="宋体"/>
                      <w:bCs/>
                      <w:color w:val="auto"/>
                      <w:sz w:val="18"/>
                      <w:szCs w:val="18"/>
                      <w:lang w:val="en-US" w:eastAsia="zh-CN"/>
                    </w:rPr>
                  </w:pPr>
                  <w:r>
                    <w:rPr>
                      <w:rFonts w:hint="eastAsia"/>
                      <w:bCs/>
                      <w:color w:val="auto"/>
                      <w:sz w:val="18"/>
                      <w:szCs w:val="18"/>
                      <w:lang w:val="en-US" w:eastAsia="zh-CN"/>
                    </w:rPr>
                    <w:t>20</w:t>
                  </w:r>
                </w:p>
              </w:tc>
              <w:tc>
                <w:tcPr>
                  <w:tcW w:w="237" w:type="pct"/>
                  <w:noWrap w:val="0"/>
                  <w:vAlign w:val="center"/>
                </w:tcPr>
                <w:p>
                  <w:pPr>
                    <w:widowControl/>
                    <w:snapToGrid w:val="0"/>
                    <w:spacing w:line="240" w:lineRule="atLeast"/>
                    <w:jc w:val="center"/>
                    <w:textAlignment w:val="center"/>
                    <w:rPr>
                      <w:rFonts w:hint="default" w:eastAsia="宋体"/>
                      <w:color w:val="auto"/>
                      <w:sz w:val="18"/>
                      <w:szCs w:val="18"/>
                      <w:lang w:val="en-US" w:eastAsia="zh-CN"/>
                    </w:rPr>
                  </w:pPr>
                  <w:r>
                    <w:rPr>
                      <w:rFonts w:hint="eastAsia"/>
                      <w:color w:val="auto"/>
                      <w:sz w:val="18"/>
                      <w:szCs w:val="18"/>
                      <w:lang w:val="en-US" w:eastAsia="zh-CN"/>
                    </w:rPr>
                    <w:t>0.1</w:t>
                  </w:r>
                </w:p>
              </w:tc>
              <w:tc>
                <w:tcPr>
                  <w:tcW w:w="238" w:type="pct"/>
                  <w:noWrap w:val="0"/>
                  <w:vAlign w:val="center"/>
                </w:tcPr>
                <w:p>
                  <w:pPr>
                    <w:widowControl/>
                    <w:snapToGrid w:val="0"/>
                    <w:spacing w:line="240" w:lineRule="atLeast"/>
                    <w:jc w:val="center"/>
                    <w:textAlignment w:val="center"/>
                    <w:rPr>
                      <w:rFonts w:hint="default" w:eastAsia="宋体"/>
                      <w:color w:val="auto"/>
                      <w:sz w:val="18"/>
                      <w:szCs w:val="18"/>
                      <w:lang w:val="en-US" w:eastAsia="zh-CN"/>
                    </w:rPr>
                  </w:pPr>
                  <w:r>
                    <w:rPr>
                      <w:rFonts w:hint="eastAsia"/>
                      <w:color w:val="auto"/>
                      <w:sz w:val="18"/>
                      <w:szCs w:val="18"/>
                      <w:lang w:val="en-US" w:eastAsia="zh-CN"/>
                    </w:rPr>
                    <w:t>0.34</w:t>
                  </w:r>
                </w:p>
              </w:tc>
              <w:tc>
                <w:tcPr>
                  <w:tcW w:w="273" w:type="pct"/>
                  <w:noWrap w:val="0"/>
                  <w:vAlign w:val="center"/>
                </w:tcPr>
                <w:p>
                  <w:pPr>
                    <w:adjustRightInd w:val="0"/>
                    <w:snapToGrid w:val="0"/>
                    <w:spacing w:line="240" w:lineRule="exact"/>
                    <w:jc w:val="center"/>
                    <w:rPr>
                      <w:rFonts w:hint="eastAsia" w:eastAsia="宋体"/>
                      <w:bCs/>
                      <w:color w:val="auto"/>
                      <w:sz w:val="18"/>
                      <w:szCs w:val="18"/>
                      <w:lang w:eastAsia="zh-CN"/>
                    </w:rPr>
                  </w:pPr>
                  <w:r>
                    <w:rPr>
                      <w:rFonts w:hint="eastAsia"/>
                      <w:bCs/>
                      <w:color w:val="auto"/>
                      <w:sz w:val="18"/>
                      <w:szCs w:val="18"/>
                    </w:rPr>
                    <w:t>有机废气排放口</w:t>
                  </w:r>
                </w:p>
              </w:tc>
              <w:tc>
                <w:tcPr>
                  <w:tcW w:w="176" w:type="pct"/>
                  <w:noWrap w:val="0"/>
                  <w:vAlign w:val="center"/>
                </w:tcPr>
                <w:p>
                  <w:pPr>
                    <w:adjustRightInd w:val="0"/>
                    <w:snapToGrid w:val="0"/>
                    <w:spacing w:line="240" w:lineRule="exact"/>
                    <w:jc w:val="center"/>
                    <w:rPr>
                      <w:bCs/>
                      <w:color w:val="auto"/>
                      <w:sz w:val="18"/>
                      <w:szCs w:val="18"/>
                    </w:rPr>
                  </w:pPr>
                  <w:r>
                    <w:rPr>
                      <w:rFonts w:hint="eastAsia"/>
                      <w:bCs/>
                      <w:color w:val="auto"/>
                      <w:sz w:val="18"/>
                      <w:szCs w:val="18"/>
                    </w:rPr>
                    <w:t>15</w:t>
                  </w:r>
                </w:p>
              </w:tc>
              <w:tc>
                <w:tcPr>
                  <w:tcW w:w="187" w:type="pct"/>
                  <w:noWrap w:val="0"/>
                  <w:vAlign w:val="center"/>
                </w:tcPr>
                <w:p>
                  <w:pPr>
                    <w:widowControl/>
                    <w:snapToGrid w:val="0"/>
                    <w:spacing w:line="240" w:lineRule="atLeast"/>
                    <w:jc w:val="center"/>
                    <w:rPr>
                      <w:rFonts w:hint="default" w:eastAsia="宋体"/>
                      <w:bCs/>
                      <w:color w:val="auto"/>
                      <w:sz w:val="18"/>
                      <w:szCs w:val="18"/>
                      <w:lang w:val="en-US" w:eastAsia="zh-CN"/>
                    </w:rPr>
                  </w:pPr>
                  <w:r>
                    <w:rPr>
                      <w:rFonts w:hint="eastAsia"/>
                      <w:color w:val="auto"/>
                      <w:sz w:val="18"/>
                      <w:szCs w:val="18"/>
                      <w:lang w:val="en-US" w:eastAsia="zh-CN"/>
                    </w:rPr>
                    <w:t>0.3</w:t>
                  </w:r>
                </w:p>
              </w:tc>
              <w:tc>
                <w:tcPr>
                  <w:tcW w:w="179" w:type="pct"/>
                  <w:noWrap w:val="0"/>
                  <w:vAlign w:val="center"/>
                </w:tcPr>
                <w:p>
                  <w:pPr>
                    <w:adjustRightInd w:val="0"/>
                    <w:snapToGrid w:val="0"/>
                    <w:spacing w:line="240" w:lineRule="exact"/>
                    <w:jc w:val="center"/>
                    <w:rPr>
                      <w:rFonts w:hint="default" w:eastAsia="宋体"/>
                      <w:bCs/>
                      <w:color w:val="auto"/>
                      <w:sz w:val="18"/>
                      <w:szCs w:val="18"/>
                      <w:lang w:val="en-US" w:eastAsia="zh-CN"/>
                    </w:rPr>
                  </w:pPr>
                  <w:r>
                    <w:rPr>
                      <w:rFonts w:hint="eastAsia"/>
                      <w:bCs/>
                      <w:color w:val="auto"/>
                      <w:sz w:val="18"/>
                      <w:szCs w:val="18"/>
                      <w:lang w:val="en-US" w:eastAsia="zh-CN"/>
                    </w:rPr>
                    <w:t>25</w:t>
                  </w:r>
                </w:p>
              </w:tc>
              <w:tc>
                <w:tcPr>
                  <w:tcW w:w="176" w:type="pct"/>
                  <w:noWrap w:val="0"/>
                  <w:vAlign w:val="center"/>
                </w:tcPr>
                <w:p>
                  <w:pPr>
                    <w:adjustRightInd w:val="0"/>
                    <w:snapToGrid w:val="0"/>
                    <w:spacing w:line="240" w:lineRule="exact"/>
                    <w:jc w:val="center"/>
                    <w:rPr>
                      <w:rFonts w:hint="eastAsia"/>
                      <w:bCs/>
                      <w:color w:val="auto"/>
                      <w:sz w:val="18"/>
                      <w:szCs w:val="18"/>
                    </w:rPr>
                  </w:pPr>
                  <w:r>
                    <w:rPr>
                      <w:rFonts w:hint="eastAsia"/>
                      <w:bCs/>
                      <w:color w:val="auto"/>
                      <w:sz w:val="18"/>
                      <w:szCs w:val="18"/>
                    </w:rPr>
                    <w:t>一般排放口</w:t>
                  </w:r>
                </w:p>
              </w:tc>
              <w:tc>
                <w:tcPr>
                  <w:tcW w:w="486" w:type="pct"/>
                  <w:noWrap w:val="0"/>
                  <w:vAlign w:val="center"/>
                </w:tcPr>
                <w:p>
                  <w:pPr>
                    <w:adjustRightInd w:val="0"/>
                    <w:snapToGrid w:val="0"/>
                    <w:spacing w:line="240" w:lineRule="exact"/>
                    <w:jc w:val="center"/>
                    <w:rPr>
                      <w:bCs/>
                      <w:color w:val="auto"/>
                      <w:sz w:val="18"/>
                      <w:szCs w:val="18"/>
                    </w:rPr>
                  </w:pPr>
                  <w:r>
                    <w:rPr>
                      <w:rFonts w:hint="default" w:ascii="Times New Roman" w:hAnsi="Times New Roman" w:eastAsia="宋体" w:cs="Times New Roman"/>
                      <w:b w:val="0"/>
                      <w:bCs w:val="0"/>
                      <w:color w:val="auto"/>
                      <w:sz w:val="18"/>
                      <w:szCs w:val="18"/>
                      <w:highlight w:val="none"/>
                      <w:lang w:val="en-US" w:eastAsia="zh-CN"/>
                    </w:rPr>
                    <w:t>E：</w:t>
                  </w:r>
                  <w:r>
                    <w:rPr>
                      <w:rFonts w:hint="default" w:ascii="Times New Roman" w:hAnsi="Times New Roman" w:cs="Times New Roman"/>
                      <w:color w:val="auto"/>
                      <w:sz w:val="18"/>
                      <w:szCs w:val="18"/>
                      <w:highlight w:val="none"/>
                      <w:lang w:eastAsia="zh-CN"/>
                    </w:rPr>
                    <w:t>117</w:t>
                  </w:r>
                  <w:r>
                    <w:rPr>
                      <w:rFonts w:hint="default" w:ascii="Times New Roman" w:hAnsi="Times New Roman" w:cs="Times New Roman"/>
                      <w:color w:val="auto"/>
                      <w:sz w:val="18"/>
                      <w:szCs w:val="18"/>
                      <w:highlight w:val="none"/>
                      <w:lang w:val="en-US" w:eastAsia="zh-CN"/>
                    </w:rPr>
                    <w:t>°</w:t>
                  </w:r>
                  <w:r>
                    <w:rPr>
                      <w:rFonts w:hint="eastAsia" w:ascii="Times New Roman" w:hAnsi="Times New Roman" w:cs="Times New Roman"/>
                      <w:color w:val="auto"/>
                      <w:sz w:val="18"/>
                      <w:szCs w:val="18"/>
                      <w:highlight w:val="none"/>
                      <w:lang w:val="en-US" w:eastAsia="zh-CN"/>
                    </w:rPr>
                    <w:t>52</w:t>
                  </w:r>
                  <w:r>
                    <w:rPr>
                      <w:rFonts w:hint="default"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lang w:val="en-US" w:eastAsia="zh-CN"/>
                    </w:rPr>
                    <w:t>37.361</w:t>
                  </w:r>
                  <w:r>
                    <w:rPr>
                      <w:rFonts w:hint="default" w:ascii="Times New Roman" w:hAnsi="Times New Roman" w:cs="Times New Roman"/>
                      <w:color w:val="auto"/>
                      <w:sz w:val="18"/>
                      <w:szCs w:val="18"/>
                      <w:highlight w:val="none"/>
                      <w:lang w:eastAsia="zh-CN"/>
                    </w:rPr>
                    <w:t>″</w:t>
                  </w:r>
                  <w:r>
                    <w:rPr>
                      <w:rFonts w:hint="default" w:ascii="Times New Roman" w:hAnsi="Times New Roman" w:eastAsia="宋体" w:cs="Times New Roman"/>
                      <w:b w:val="0"/>
                      <w:bCs w:val="0"/>
                      <w:color w:val="auto"/>
                      <w:sz w:val="18"/>
                      <w:szCs w:val="18"/>
                      <w:highlight w:val="none"/>
                      <w:lang w:val="en-US" w:eastAsia="zh-CN"/>
                    </w:rPr>
                    <w:t>N：</w:t>
                  </w:r>
                  <w:r>
                    <w:rPr>
                      <w:rFonts w:hint="default" w:ascii="Times New Roman" w:hAnsi="Times New Roman" w:cs="Times New Roman"/>
                      <w:color w:val="auto"/>
                      <w:sz w:val="18"/>
                      <w:szCs w:val="18"/>
                      <w:highlight w:val="none"/>
                      <w:lang w:eastAsia="zh-CN"/>
                    </w:rPr>
                    <w:t>28</w:t>
                  </w:r>
                  <w:r>
                    <w:rPr>
                      <w:rFonts w:hint="default" w:ascii="Times New Roman" w:hAnsi="Times New Roman" w:cs="Times New Roman"/>
                      <w:color w:val="auto"/>
                      <w:sz w:val="18"/>
                      <w:szCs w:val="18"/>
                      <w:highlight w:val="none"/>
                      <w:lang w:val="en-US" w:eastAsia="zh-CN"/>
                    </w:rPr>
                    <w:t>°</w:t>
                  </w:r>
                  <w:r>
                    <w:rPr>
                      <w:rFonts w:hint="default" w:ascii="Times New Roman" w:hAnsi="Times New Roman" w:cs="Times New Roman"/>
                      <w:color w:val="auto"/>
                      <w:sz w:val="18"/>
                      <w:szCs w:val="18"/>
                      <w:highlight w:val="none"/>
                      <w:lang w:eastAsia="zh-CN"/>
                    </w:rPr>
                    <w:t>2</w:t>
                  </w:r>
                  <w:r>
                    <w:rPr>
                      <w:rFonts w:hint="eastAsia" w:ascii="Times New Roman" w:hAnsi="Times New Roman" w:cs="Times New Roman"/>
                      <w:color w:val="auto"/>
                      <w:sz w:val="18"/>
                      <w:szCs w:val="18"/>
                      <w:highlight w:val="none"/>
                      <w:lang w:val="en-US" w:eastAsia="zh-CN"/>
                    </w:rPr>
                    <w:t>4</w:t>
                  </w:r>
                  <w:r>
                    <w:rPr>
                      <w:rFonts w:hint="default" w:ascii="Times New Roman" w:hAnsi="Times New Roman" w:cs="Times New Roman"/>
                      <w:color w:val="auto"/>
                      <w:sz w:val="18"/>
                      <w:szCs w:val="18"/>
                      <w:highlight w:val="none"/>
                      <w:lang w:eastAsia="zh-CN"/>
                    </w:rPr>
                    <w:t>′50.821″</w:t>
                  </w:r>
                </w:p>
              </w:tc>
              <w:tc>
                <w:tcPr>
                  <w:tcW w:w="263" w:type="pct"/>
                  <w:noWrap w:val="0"/>
                  <w:vAlign w:val="center"/>
                </w:tcPr>
                <w:p>
                  <w:pPr>
                    <w:widowControl/>
                    <w:snapToGrid w:val="0"/>
                    <w:spacing w:line="240" w:lineRule="atLeast"/>
                    <w:jc w:val="center"/>
                    <w:textAlignment w:val="center"/>
                    <w:rPr>
                      <w:rFonts w:hint="default" w:eastAsia="宋体"/>
                      <w:bCs/>
                      <w:color w:val="auto"/>
                      <w:sz w:val="18"/>
                      <w:szCs w:val="18"/>
                      <w:lang w:val="en-US" w:eastAsia="zh-CN"/>
                    </w:rPr>
                  </w:pPr>
                  <w:r>
                    <w:rPr>
                      <w:rFonts w:hint="eastAsia"/>
                      <w:bCs/>
                      <w:color w:val="auto"/>
                      <w:sz w:val="18"/>
                      <w:szCs w:val="18"/>
                      <w:lang w:val="en-US" w:eastAsia="zh-CN"/>
                    </w:rPr>
                    <w:t>60</w:t>
                  </w:r>
                </w:p>
              </w:tc>
              <w:tc>
                <w:tcPr>
                  <w:tcW w:w="220" w:type="pct"/>
                  <w:noWrap w:val="0"/>
                  <w:vAlign w:val="center"/>
                </w:tcPr>
                <w:p>
                  <w:pPr>
                    <w:snapToGrid w:val="0"/>
                    <w:spacing w:line="240" w:lineRule="atLeast"/>
                    <w:jc w:val="center"/>
                    <w:rPr>
                      <w:rFonts w:hint="default" w:eastAsia="宋体"/>
                      <w:bCs/>
                      <w:color w:val="auto"/>
                      <w:sz w:val="18"/>
                      <w:szCs w:val="18"/>
                      <w:lang w:val="en-US" w:eastAsia="zh-CN"/>
                    </w:rPr>
                  </w:pPr>
                  <w:r>
                    <w:rPr>
                      <w:rFonts w:hint="eastAsia"/>
                      <w:color w:val="auto"/>
                      <w:sz w:val="18"/>
                      <w:szCs w:val="18"/>
                      <w:lang w:val="en-US" w:eastAsia="zh-CN"/>
                    </w:rPr>
                    <w:t>1.8</w:t>
                  </w:r>
                </w:p>
              </w:tc>
            </w:tr>
          </w:tbl>
          <w:p>
            <w:pPr>
              <w:keepNext w:val="0"/>
              <w:keepLines w:val="0"/>
              <w:widowControl/>
              <w:suppressLineNumbers w:val="0"/>
              <w:jc w:val="center"/>
              <w:rPr>
                <w:rFonts w:hint="default" w:ascii="Times New Roman" w:hAnsi="Times New Roman" w:cs="Times New Roman"/>
                <w:lang w:val="en-US" w:eastAsia="zh-CN"/>
              </w:rPr>
            </w:pPr>
            <w:r>
              <w:rPr>
                <w:rFonts w:hint="eastAsia" w:ascii="Times New Roman" w:hAnsi="Times New Roman" w:cs="Times New Roman"/>
                <w:b/>
                <w:bCs/>
                <w:lang w:val="en-US" w:eastAsia="zh-CN"/>
              </w:rPr>
              <w:t>表4-</w:t>
            </w:r>
            <w:r>
              <w:rPr>
                <w:rFonts w:hint="eastAsia" w:cs="Times New Roman"/>
                <w:b/>
                <w:bCs/>
                <w:lang w:val="en-US" w:eastAsia="zh-CN"/>
              </w:rPr>
              <w:t>7</w:t>
            </w:r>
            <w:r>
              <w:rPr>
                <w:rFonts w:hint="default" w:ascii="Times New Roman" w:hAnsi="Times New Roman" w:cs="Times New Roman"/>
                <w:b/>
                <w:bCs/>
                <w:lang w:val="en-US" w:eastAsia="zh-CN"/>
              </w:rPr>
              <w:t>项目正常工况下无组织废气污染源源强核算结果及相关参数一览表</w:t>
            </w:r>
          </w:p>
          <w:tbl>
            <w:tblPr>
              <w:tblStyle w:val="28"/>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191"/>
              <w:gridCol w:w="1609"/>
              <w:gridCol w:w="1454"/>
              <w:gridCol w:w="2068"/>
              <w:gridCol w:w="2596"/>
              <w:gridCol w:w="2057"/>
              <w:gridCol w:w="16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25" w:type="pct"/>
                  <w:vMerge w:val="restart"/>
                  <w:tcBorders>
                    <w:top w:val="single" w:color="auto" w:sz="12" w:space="0"/>
                    <w:bottom w:val="single" w:color="auto" w:sz="8"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产污环节</w:t>
                  </w:r>
                </w:p>
              </w:tc>
              <w:tc>
                <w:tcPr>
                  <w:tcW w:w="430" w:type="pct"/>
                  <w:vMerge w:val="restart"/>
                  <w:tcBorders>
                    <w:top w:val="single" w:color="auto" w:sz="12" w:space="0"/>
                    <w:left w:val="single" w:color="auto" w:sz="8" w:space="0"/>
                    <w:bottom w:val="single" w:color="auto" w:sz="8"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污染物</w:t>
                  </w:r>
                </w:p>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种类</w:t>
                  </w:r>
                </w:p>
              </w:tc>
              <w:tc>
                <w:tcPr>
                  <w:tcW w:w="581" w:type="pct"/>
                  <w:vMerge w:val="restart"/>
                  <w:tcBorders>
                    <w:top w:val="single" w:color="auto" w:sz="12" w:space="0"/>
                    <w:left w:val="single" w:color="auto" w:sz="8" w:space="0"/>
                    <w:bottom w:val="single" w:color="auto" w:sz="8"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排放方式</w:t>
                  </w:r>
                </w:p>
              </w:tc>
              <w:tc>
                <w:tcPr>
                  <w:tcW w:w="1272" w:type="pct"/>
                  <w:gridSpan w:val="2"/>
                  <w:tcBorders>
                    <w:top w:val="single" w:color="auto" w:sz="12"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污染物产生量</w:t>
                  </w:r>
                </w:p>
              </w:tc>
              <w:tc>
                <w:tcPr>
                  <w:tcW w:w="938" w:type="pct"/>
                  <w:vMerge w:val="restart"/>
                  <w:tcBorders>
                    <w:top w:val="single" w:color="auto" w:sz="12" w:space="0"/>
                    <w:left w:val="single" w:color="auto" w:sz="8" w:space="0"/>
                    <w:right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治理设施</w:t>
                  </w:r>
                </w:p>
              </w:tc>
              <w:tc>
                <w:tcPr>
                  <w:tcW w:w="1351" w:type="pct"/>
                  <w:gridSpan w:val="2"/>
                  <w:tcBorders>
                    <w:top w:val="single" w:color="auto" w:sz="12" w:space="0"/>
                    <w:left w:val="single" w:color="auto" w:sz="12" w:space="0"/>
                    <w:bottom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污染物排放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5" w:type="pct"/>
                  <w:vMerge w:val="continue"/>
                  <w:tcBorders>
                    <w:top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rPr>
                  </w:pPr>
                </w:p>
              </w:tc>
              <w:tc>
                <w:tcPr>
                  <w:tcW w:w="430" w:type="pct"/>
                  <w:vMerge w:val="continue"/>
                  <w:tcBorders>
                    <w:top w:val="single" w:color="auto" w:sz="8"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rPr>
                  </w:pPr>
                </w:p>
              </w:tc>
              <w:tc>
                <w:tcPr>
                  <w:tcW w:w="581" w:type="pct"/>
                  <w:vMerge w:val="continue"/>
                  <w:tcBorders>
                    <w:top w:val="single" w:color="auto" w:sz="8"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p>
              </w:tc>
              <w:tc>
                <w:tcPr>
                  <w:tcW w:w="525" w:type="pct"/>
                  <w:tcBorders>
                    <w:top w:val="single" w:color="auto" w:sz="12"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排放量（t/a）</w:t>
                  </w:r>
                </w:p>
              </w:tc>
              <w:tc>
                <w:tcPr>
                  <w:tcW w:w="747" w:type="pct"/>
                  <w:tcBorders>
                    <w:top w:val="single" w:color="auto" w:sz="12" w:space="0"/>
                    <w:left w:val="single" w:color="auto" w:sz="8" w:space="0"/>
                    <w:bottom w:val="single" w:color="auto" w:sz="12" w:space="0"/>
                    <w:right w:val="single" w:color="auto" w:sz="8"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排放速率（kg/h）</w:t>
                  </w:r>
                </w:p>
              </w:tc>
              <w:tc>
                <w:tcPr>
                  <w:tcW w:w="938" w:type="pct"/>
                  <w:vMerge w:val="continue"/>
                  <w:tcBorders>
                    <w:left w:val="single" w:color="auto" w:sz="8" w:space="0"/>
                    <w:right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p>
              </w:tc>
              <w:tc>
                <w:tcPr>
                  <w:tcW w:w="743" w:type="pct"/>
                  <w:tcBorders>
                    <w:top w:val="single" w:color="auto" w:sz="12" w:space="0"/>
                    <w:left w:val="single" w:color="auto" w:sz="12" w:space="0"/>
                    <w:bottom w:val="single" w:color="auto" w:sz="12" w:space="0"/>
                    <w:right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排放量（t/a）</w:t>
                  </w:r>
                </w:p>
              </w:tc>
              <w:tc>
                <w:tcPr>
                  <w:tcW w:w="608" w:type="pct"/>
                  <w:tcBorders>
                    <w:top w:val="single" w:color="auto" w:sz="12" w:space="0"/>
                    <w:left w:val="single" w:color="auto" w:sz="12" w:space="0"/>
                    <w:bottom w:val="single" w:color="auto" w:sz="12" w:space="0"/>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b/>
                      <w:bCs/>
                      <w:sz w:val="18"/>
                      <w:szCs w:val="18"/>
                      <w:lang w:val="en-US" w:eastAsia="zh-CN"/>
                    </w:rPr>
                  </w:pPr>
                  <w:r>
                    <w:rPr>
                      <w:rFonts w:hint="default" w:ascii="Times New Roman" w:hAnsi="Times New Roman" w:cs="Times New Roman"/>
                      <w:b/>
                      <w:bCs/>
                      <w:sz w:val="18"/>
                      <w:szCs w:val="18"/>
                      <w:lang w:val="en-US" w:eastAsia="zh-CN"/>
                    </w:rPr>
                    <w:t>排放速率（kg/h）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51" w:hRule="atLeast"/>
              </w:trPr>
              <w:tc>
                <w:tcPr>
                  <w:tcW w:w="425" w:type="pct"/>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酒精擦拭、胶合、点胶</w:t>
                  </w:r>
                </w:p>
              </w:tc>
              <w:tc>
                <w:tcPr>
                  <w:tcW w:w="430" w:type="pct"/>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VOC</w:t>
                  </w:r>
                  <w:r>
                    <w:rPr>
                      <w:rFonts w:hint="default" w:ascii="Times New Roman" w:hAnsi="Times New Roman" w:cs="Times New Roman"/>
                      <w:sz w:val="18"/>
                      <w:szCs w:val="18"/>
                      <w:vertAlign w:val="subscript"/>
                      <w:lang w:val="en-US" w:eastAsia="zh-CN"/>
                    </w:rPr>
                    <w:t>S</w:t>
                  </w:r>
                </w:p>
              </w:tc>
              <w:tc>
                <w:tcPr>
                  <w:tcW w:w="581" w:type="pct"/>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无组织</w:t>
                  </w:r>
                </w:p>
              </w:tc>
              <w:tc>
                <w:tcPr>
                  <w:tcW w:w="525" w:type="pct"/>
                  <w:tcBorders>
                    <w:top w:val="single" w:color="auto" w:sz="12" w:space="0"/>
                    <w:right w:val="single" w:color="000000" w:sz="4"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0.186</w:t>
                  </w:r>
                </w:p>
              </w:tc>
              <w:tc>
                <w:tcPr>
                  <w:tcW w:w="747" w:type="pct"/>
                  <w:tcBorders>
                    <w:top w:val="single" w:color="auto" w:sz="12" w:space="0"/>
                    <w:left w:val="single" w:color="000000" w:sz="4"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0.06</w:t>
                  </w:r>
                </w:p>
              </w:tc>
              <w:tc>
                <w:tcPr>
                  <w:tcW w:w="938" w:type="pct"/>
                  <w:tcBorders>
                    <w:left w:val="single" w:color="auto" w:sz="8" w:space="0"/>
                    <w:right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加强车间通风</w:t>
                  </w:r>
                </w:p>
              </w:tc>
              <w:tc>
                <w:tcPr>
                  <w:tcW w:w="2057" w:type="dxa"/>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kern w:val="2"/>
                      <w:sz w:val="18"/>
                      <w:szCs w:val="18"/>
                      <w:lang w:val="en-US" w:eastAsia="zh-CN" w:bidi="ar-SA"/>
                    </w:rPr>
                  </w:pPr>
                  <w:r>
                    <w:rPr>
                      <w:rFonts w:hint="eastAsia" w:ascii="Times New Roman" w:hAnsi="Times New Roman" w:cs="Times New Roman"/>
                      <w:sz w:val="18"/>
                      <w:szCs w:val="18"/>
                      <w:lang w:val="en-US" w:eastAsia="zh-CN"/>
                    </w:rPr>
                    <w:t>0.186</w:t>
                  </w:r>
                </w:p>
              </w:tc>
              <w:tc>
                <w:tcPr>
                  <w:tcW w:w="1682" w:type="dxa"/>
                  <w:tcBorders>
                    <w:top w:val="single" w:color="auto" w:sz="12" w:space="0"/>
                    <w:tl2br w:val="nil"/>
                    <w:tr2bl w:val="nil"/>
                  </w:tcBorders>
                  <w:noWrap w:val="0"/>
                  <w:vAlign w:val="center"/>
                </w:tcPr>
                <w:p>
                  <w:pPr>
                    <w:pStyle w:val="55"/>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kern w:val="2"/>
                      <w:sz w:val="18"/>
                      <w:szCs w:val="18"/>
                      <w:lang w:val="en-US" w:eastAsia="zh-CN" w:bidi="ar-SA"/>
                    </w:rPr>
                  </w:pPr>
                  <w:r>
                    <w:rPr>
                      <w:rFonts w:hint="eastAsia" w:ascii="Times New Roman" w:hAnsi="Times New Roman" w:cs="Times New Roman"/>
                      <w:sz w:val="18"/>
                      <w:szCs w:val="18"/>
                      <w:lang w:val="en-US" w:eastAsia="zh-CN"/>
                    </w:rPr>
                    <w:t>0.06</w:t>
                  </w:r>
                </w:p>
              </w:tc>
            </w:tr>
          </w:tbl>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rPr>
          <w:rFonts w:hint="eastAsia"/>
        </w:rPr>
        <w:sectPr>
          <w:pgSz w:w="16840" w:h="11907" w:orient="landscape"/>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8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5" w:hRule="atLeast"/>
          <w:jc w:val="center"/>
        </w:trPr>
        <w:tc>
          <w:tcPr>
            <w:tcW w:w="453"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852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cs="Times New Roman"/>
                <w:kern w:val="0"/>
                <w:sz w:val="24"/>
                <w:szCs w:val="20"/>
                <w:lang w:val="en-US" w:eastAsia="zh-CN"/>
              </w:rPr>
            </w:pPr>
            <w:r>
              <w:rPr>
                <w:rFonts w:hint="eastAsia" w:cs="Times New Roman"/>
                <w:kern w:val="0"/>
                <w:sz w:val="24"/>
                <w:szCs w:val="20"/>
                <w:lang w:val="en-US" w:eastAsia="zh-CN"/>
              </w:rPr>
              <w:t>（2）源强分析</w:t>
            </w:r>
          </w:p>
          <w:p>
            <w:pPr>
              <w:adjustRightInd w:val="0"/>
              <w:snapToGrid w:val="0"/>
              <w:spacing w:line="360" w:lineRule="auto"/>
              <w:ind w:firstLine="480" w:firstLineChars="200"/>
              <w:rPr>
                <w:rFonts w:hint="default" w:cs="Times New Roman"/>
                <w:kern w:val="0"/>
                <w:sz w:val="24"/>
                <w:szCs w:val="20"/>
                <w:lang w:val="en-US" w:eastAsia="zh-CN"/>
              </w:rPr>
            </w:pPr>
            <w:r>
              <w:rPr>
                <w:rFonts w:hint="eastAsia" w:cs="Times New Roman"/>
                <w:kern w:val="0"/>
                <w:sz w:val="24"/>
                <w:szCs w:val="20"/>
                <w:lang w:val="en-US" w:eastAsia="zh-CN"/>
              </w:rPr>
              <w:t>本项目废气主要为酒精擦拭废气、胶合废气、点胶废气、食堂油烟。</w:t>
            </w:r>
          </w:p>
          <w:p>
            <w:pPr>
              <w:adjustRightInd w:val="0"/>
              <w:snapToGrid w:val="0"/>
              <w:spacing w:line="360" w:lineRule="auto"/>
              <w:ind w:firstLine="480" w:firstLineChars="200"/>
              <w:rPr>
                <w:rFonts w:hint="eastAsia" w:cs="Times New Roman"/>
                <w:kern w:val="0"/>
                <w:sz w:val="24"/>
                <w:szCs w:val="20"/>
                <w:lang w:val="en-US" w:eastAsia="zh-CN"/>
              </w:rPr>
            </w:pPr>
            <w:r>
              <w:rPr>
                <w:rFonts w:hint="eastAsia" w:cs="Times New Roman"/>
                <w:kern w:val="0"/>
                <w:sz w:val="24"/>
                <w:szCs w:val="20"/>
                <w:lang w:val="en-US" w:eastAsia="zh-CN"/>
              </w:rPr>
              <w:t>1）酒精擦拭废气</w:t>
            </w:r>
          </w:p>
          <w:p>
            <w:pPr>
              <w:adjustRightInd w:val="0"/>
              <w:snapToGrid w:val="0"/>
              <w:spacing w:line="360" w:lineRule="auto"/>
              <w:ind w:firstLine="480" w:firstLineChars="200"/>
              <w:rPr>
                <w:rFonts w:hint="eastAsia" w:cs="Times New Roman"/>
                <w:kern w:val="0"/>
                <w:sz w:val="24"/>
                <w:szCs w:val="20"/>
                <w:lang w:val="en-US" w:eastAsia="zh-CN"/>
              </w:rPr>
            </w:pPr>
            <w:r>
              <w:rPr>
                <w:rFonts w:hint="eastAsia" w:cs="Times New Roman"/>
                <w:kern w:val="0"/>
                <w:sz w:val="24"/>
                <w:szCs w:val="20"/>
                <w:lang w:val="en-US" w:eastAsia="zh-CN"/>
              </w:rPr>
              <w:t>本项目使用酒精进行擦拭清洁，在此过程中会产生少量的有机废气，本项目酒精合计使用量为1.8t/a，按全部挥发计算，则VOC</w:t>
            </w:r>
            <w:r>
              <w:rPr>
                <w:rFonts w:hint="eastAsia" w:cs="Times New Roman"/>
                <w:kern w:val="0"/>
                <w:sz w:val="24"/>
                <w:szCs w:val="20"/>
                <w:vertAlign w:val="subscript"/>
                <w:lang w:val="en-US" w:eastAsia="zh-CN"/>
              </w:rPr>
              <w:t>S</w:t>
            </w:r>
            <w:r>
              <w:rPr>
                <w:rFonts w:hint="eastAsia" w:cs="Times New Roman"/>
                <w:kern w:val="0"/>
                <w:sz w:val="24"/>
                <w:szCs w:val="20"/>
                <w:lang w:val="en-US" w:eastAsia="zh-CN"/>
              </w:rPr>
              <w:t>产生量为1.8t/a。废气经集气罩收集后（捕集率90%），进入二级活性炭处理装置进行处理，处理效率为80%，处理后通过1根15m高DA001排气筒排放。</w:t>
            </w:r>
          </w:p>
          <w:p>
            <w:pPr>
              <w:numPr>
                <w:ilvl w:val="0"/>
                <w:numId w:val="0"/>
              </w:numPr>
              <w:snapToGrid w:val="0"/>
              <w:spacing w:line="360" w:lineRule="auto"/>
              <w:ind w:firstLine="480" w:firstLineChars="200"/>
              <w:rPr>
                <w:rFonts w:hint="eastAsia"/>
                <w:b w:val="0"/>
                <w:bCs/>
                <w:sz w:val="24"/>
                <w:lang w:val="en-US" w:eastAsia="zh-CN"/>
              </w:rPr>
            </w:pPr>
            <w:r>
              <w:rPr>
                <w:rFonts w:hint="eastAsia"/>
                <w:b w:val="0"/>
                <w:bCs/>
                <w:sz w:val="24"/>
                <w:lang w:val="en-US" w:eastAsia="zh-CN"/>
              </w:rPr>
              <w:t>2）胶合及点胶废气</w:t>
            </w:r>
          </w:p>
          <w:p>
            <w:pPr>
              <w:pStyle w:val="5"/>
              <w:numPr>
                <w:ilvl w:val="0"/>
                <w:numId w:val="0"/>
              </w:numPr>
              <w:ind w:firstLine="480"/>
              <w:rPr>
                <w:rFonts w:hint="eastAsia"/>
                <w:b w:val="0"/>
                <w:bCs w:val="0"/>
                <w:lang w:val="en-US" w:eastAsia="zh-CN"/>
              </w:rPr>
            </w:pPr>
            <w:r>
              <w:rPr>
                <w:rFonts w:hint="eastAsia"/>
                <w:b w:val="0"/>
                <w:bCs w:val="0"/>
                <w:lang w:val="en-US" w:eastAsia="zh-CN"/>
              </w:rPr>
              <w:t>根据企业提供的msds报告，本项目使用的紫外光胶中丙烯酸异冰片酯含量为10-30%，乙氧基乙氧基乙基丙烯酸酯含量为5-10%，按最不利情况，紫外光胶取40%计算有机废气产生量；硅胶胶水中有机锡化合物含量为1-5%，按最不利情况，硅胶胶水按5%计算有机废气产生量。根据建设单位提供资料，本项目使用紫外光胶和硅胶胶水分别为0.14t/a和0.65t/a，则胶合工序产生的VOCs为0.056t/a，点胶工序产生的VOCs为0.03t/a。项目在点胶机处设置集气罩收集废气，收集效率为90%，收集的VOCs废气经一套二级活性炭吸附装置处理后经过1根15m高DA001排气筒排放，处理效率为80%，未收集废气呈无组织形式排放。</w:t>
            </w:r>
          </w:p>
          <w:p>
            <w:pPr>
              <w:pStyle w:val="5"/>
              <w:numPr>
                <w:ilvl w:val="0"/>
                <w:numId w:val="0"/>
              </w:numPr>
              <w:ind w:firstLine="480"/>
              <w:rPr>
                <w:rFonts w:hint="eastAsia"/>
                <w:b w:val="0"/>
                <w:bCs w:val="0"/>
                <w:lang w:val="en-US" w:eastAsia="zh-CN"/>
              </w:rPr>
            </w:pPr>
            <w:r>
              <w:rPr>
                <w:rFonts w:hint="eastAsia"/>
                <w:b w:val="0"/>
                <w:bCs w:val="0"/>
                <w:lang w:val="en-US" w:eastAsia="zh-CN"/>
              </w:rPr>
              <w:t>综上，本项目酒精擦拭产生的VOCs为1.8t/a，胶合产生的VOCs为0.056t/a，点胶产生的VOCs为0.03t/a，合计VOCs产生量为1.886t/a。项目年工作时间为3300h，设计集气罩总风量为5000m</w:t>
            </w:r>
            <w:r>
              <w:rPr>
                <w:rFonts w:hint="eastAsia"/>
                <w:b w:val="0"/>
                <w:bCs w:val="0"/>
                <w:vertAlign w:val="superscript"/>
                <w:lang w:val="en-US" w:eastAsia="zh-CN"/>
              </w:rPr>
              <w:t>3</w:t>
            </w:r>
            <w:r>
              <w:rPr>
                <w:rFonts w:hint="eastAsia"/>
                <w:b w:val="0"/>
                <w:bCs w:val="0"/>
                <w:lang w:val="en-US" w:eastAsia="zh-CN"/>
              </w:rPr>
              <w:t>/h，经二级活性炭吸附装置处理，处理效率可达80%，则VOCs有组织排放量为0.34t/a，无组织排放量为0.186t/a。</w:t>
            </w:r>
          </w:p>
          <w:p>
            <w:pPr>
              <w:adjustRightInd w:val="0"/>
              <w:snapToGrid w:val="0"/>
              <w:spacing w:line="360" w:lineRule="auto"/>
              <w:ind w:firstLine="480" w:firstLineChars="200"/>
              <w:rPr>
                <w:rFonts w:ascii="Times New Roman" w:hAnsi="Times New Roman"/>
                <w:b w:val="0"/>
                <w:bCs w:val="0"/>
                <w:sz w:val="24"/>
              </w:rPr>
            </w:pPr>
            <w:r>
              <w:rPr>
                <w:rFonts w:hint="eastAsia"/>
                <w:b w:val="0"/>
                <w:bCs w:val="0"/>
                <w:sz w:val="24"/>
                <w:lang w:val="en-US" w:eastAsia="zh-CN"/>
              </w:rPr>
              <w:t>3</w:t>
            </w:r>
            <w:r>
              <w:rPr>
                <w:rFonts w:hint="eastAsia" w:ascii="Times New Roman" w:hAnsi="Times New Roman"/>
                <w:b w:val="0"/>
                <w:bCs w:val="0"/>
                <w:sz w:val="24"/>
              </w:rPr>
              <w:t>）</w:t>
            </w:r>
            <w:r>
              <w:rPr>
                <w:rFonts w:ascii="Times New Roman" w:hAnsi="Times New Roman"/>
                <w:b w:val="0"/>
                <w:bCs w:val="0"/>
                <w:sz w:val="24"/>
              </w:rPr>
              <w:t>食堂油烟</w:t>
            </w:r>
          </w:p>
          <w:p>
            <w:pPr>
              <w:adjustRightInd w:val="0"/>
              <w:snapToGrid w:val="0"/>
              <w:spacing w:line="360" w:lineRule="auto"/>
              <w:ind w:firstLine="480" w:firstLineChars="200"/>
              <w:rPr>
                <w:rFonts w:hint="eastAsia"/>
                <w:kern w:val="0"/>
                <w:sz w:val="24"/>
                <w:szCs w:val="24"/>
                <w:lang w:val="zh-CN"/>
              </w:rPr>
            </w:pPr>
            <w:r>
              <w:rPr>
                <w:rFonts w:hint="eastAsia" w:ascii="Times New Roman" w:hAnsi="Times New Roman"/>
                <w:sz w:val="24"/>
              </w:rPr>
              <w:t>本项目食堂设置灶头2个，食堂工作时间约为3h/d，用餐职工100人，每人每天食用油用量按30g，油烟挥发按2.5%计算，预计食堂食用油用量为3kg/d，900kg/a，挥发油烟量为0.075kg/d，22.5kg/a；本项目食堂参照执行《饮食业油烟排放标准》(GB18483-2001)的相应要求，本项目食堂属于小型餐饮单位，需安装油烟净化装置，净化效率不低60%，油烟机处理效率为90%，风速6000m</w:t>
            </w:r>
            <w:r>
              <w:rPr>
                <w:rFonts w:hint="eastAsia" w:ascii="Times New Roman" w:hAnsi="Times New Roman"/>
                <w:sz w:val="24"/>
                <w:vertAlign w:val="superscript"/>
              </w:rPr>
              <w:t>3</w:t>
            </w:r>
            <w:r>
              <w:rPr>
                <w:rFonts w:hint="eastAsia" w:ascii="Times New Roman" w:hAnsi="Times New Roman"/>
                <w:sz w:val="24"/>
              </w:rPr>
              <w:t>/h，则项目排放油烟0.0075kg/d，浓度为1.25mg/m</w:t>
            </w:r>
            <w:r>
              <w:rPr>
                <w:rFonts w:hint="eastAsia" w:ascii="Times New Roman" w:hAnsi="Times New Roman"/>
                <w:sz w:val="24"/>
                <w:vertAlign w:val="superscript"/>
              </w:rPr>
              <w:t>3</w:t>
            </w:r>
            <w:r>
              <w:rPr>
                <w:rFonts w:hint="eastAsia" w:ascii="Times New Roman" w:hAnsi="Times New Roman"/>
                <w:sz w:val="24"/>
              </w:rPr>
              <w:t>。项目油烟经专用管道，通过食堂楼顶排放</w:t>
            </w:r>
            <w:r>
              <w:rPr>
                <w:rFonts w:ascii="Times New Roman" w:hAnsi="Times New Roman"/>
                <w:kern w:val="0"/>
                <w:sz w:val="24"/>
                <w:szCs w:val="24"/>
                <w:lang w:val="zh-CN"/>
              </w:rPr>
              <w:t>，排出的油烟浓度小于2.0mg/m</w:t>
            </w:r>
            <w:r>
              <w:rPr>
                <w:rFonts w:ascii="Times New Roman" w:hAnsi="Times New Roman"/>
                <w:kern w:val="0"/>
                <w:sz w:val="24"/>
                <w:szCs w:val="24"/>
                <w:vertAlign w:val="superscript"/>
                <w:lang w:val="zh-CN"/>
              </w:rPr>
              <w:t>3</w:t>
            </w:r>
            <w:r>
              <w:rPr>
                <w:rFonts w:ascii="Times New Roman" w:hAnsi="Times New Roman"/>
                <w:kern w:val="0"/>
                <w:sz w:val="24"/>
                <w:szCs w:val="24"/>
                <w:lang w:val="zh-CN"/>
              </w:rPr>
              <w:t>，满足《饮食业油烟排放标准》（GB18483-2001）中小型规模的限制要求</w:t>
            </w:r>
            <w:r>
              <w:rPr>
                <w:rFonts w:hint="eastAsia"/>
                <w:kern w:val="0"/>
                <w:sz w:val="24"/>
                <w:szCs w:val="24"/>
                <w:lang w:val="zh-CN"/>
              </w:rPr>
              <w:t>。</w:t>
            </w:r>
          </w:p>
          <w:p>
            <w:pPr>
              <w:adjustRightInd w:val="0"/>
              <w:snapToGrid w:val="0"/>
              <w:spacing w:line="360" w:lineRule="auto"/>
              <w:ind w:firstLine="480" w:firstLineChars="200"/>
              <w:rPr>
                <w:rFonts w:hint="default" w:ascii="Times New Roman" w:hAnsi="Times New Roman"/>
                <w:sz w:val="24"/>
              </w:rPr>
            </w:pPr>
            <w:r>
              <w:rPr>
                <w:rFonts w:hint="eastAsia" w:ascii="Times New Roman" w:hAnsi="Times New Roman"/>
                <w:sz w:val="24"/>
                <w:lang w:eastAsia="zh-CN"/>
              </w:rPr>
              <w:t>（</w:t>
            </w:r>
            <w:r>
              <w:rPr>
                <w:rFonts w:hint="eastAsia" w:ascii="Times New Roman" w:hAnsi="Times New Roman"/>
                <w:sz w:val="24"/>
                <w:lang w:val="en-US" w:eastAsia="zh-CN"/>
              </w:rPr>
              <w:t>3</w:t>
            </w:r>
            <w:r>
              <w:rPr>
                <w:rFonts w:hint="eastAsia" w:ascii="Times New Roman" w:hAnsi="Times New Roman"/>
                <w:sz w:val="24"/>
                <w:lang w:eastAsia="zh-CN"/>
              </w:rPr>
              <w:t>）</w:t>
            </w:r>
            <w:r>
              <w:rPr>
                <w:rFonts w:hint="default" w:ascii="Times New Roman" w:hAnsi="Times New Roman"/>
                <w:sz w:val="24"/>
                <w:lang w:val="en-GB"/>
              </w:rPr>
              <w:t>卫生</w:t>
            </w:r>
            <w:r>
              <w:rPr>
                <w:rFonts w:hint="default" w:ascii="Times New Roman" w:hAnsi="Times New Roman"/>
                <w:sz w:val="24"/>
              </w:rPr>
              <w:t>防护距离计算结果</w:t>
            </w:r>
          </w:p>
          <w:p>
            <w:pPr>
              <w:adjustRightInd w:val="0"/>
              <w:snapToGrid w:val="0"/>
              <w:spacing w:line="360" w:lineRule="auto"/>
              <w:ind w:firstLine="480" w:firstLineChars="200"/>
              <w:rPr>
                <w:rFonts w:hint="default" w:ascii="Times New Roman" w:hAnsi="Times New Roman"/>
                <w:sz w:val="24"/>
                <w:lang w:val="zh-CN"/>
              </w:rPr>
            </w:pPr>
            <w:r>
              <w:rPr>
                <w:rFonts w:hint="default" w:ascii="Times New Roman" w:hAnsi="Times New Roman"/>
                <w:sz w:val="24"/>
              </w:rPr>
              <w:t>根据《大气有害物质无组织排放卫生防护距离推导技术导则》（GB/T39499-2020）中有关规定及现行有关国标中卫生防护距离的定义：卫生防护距离是为了防控通过无组织排放的大气污染物的健康危害，产生大气有害物质的生产单元（生产车间或作业场所）的边界至敏感区边界的最小距离</w:t>
            </w:r>
            <w:r>
              <w:rPr>
                <w:rFonts w:hint="default" w:ascii="Times New Roman" w:hAnsi="Times New Roman"/>
                <w:sz w:val="24"/>
                <w:lang w:val="zh-CN"/>
              </w:rPr>
              <w:t>。</w:t>
            </w:r>
          </w:p>
          <w:p>
            <w:pPr>
              <w:adjustRightInd w:val="0"/>
              <w:snapToGrid w:val="0"/>
              <w:spacing w:line="360" w:lineRule="auto"/>
              <w:ind w:firstLine="480" w:firstLineChars="200"/>
              <w:rPr>
                <w:rFonts w:hint="default" w:ascii="Times New Roman" w:hAnsi="Times New Roman"/>
                <w:sz w:val="24"/>
              </w:rPr>
            </w:pPr>
            <w:r>
              <w:rPr>
                <w:rFonts w:hint="default" w:ascii="Times New Roman" w:hAnsi="Times New Roman"/>
                <w:sz w:val="24"/>
              </w:rPr>
              <w:t>厂址处年平均风速为</w:t>
            </w:r>
            <w:r>
              <w:rPr>
                <w:rFonts w:hint="eastAsia" w:ascii="Times New Roman" w:hAnsi="Times New Roman"/>
                <w:sz w:val="24"/>
                <w:lang w:val="en-US" w:eastAsia="zh-CN"/>
              </w:rPr>
              <w:t>1.5</w:t>
            </w:r>
            <w:r>
              <w:rPr>
                <w:rFonts w:hint="default" w:ascii="Times New Roman" w:hAnsi="Times New Roman"/>
                <w:sz w:val="24"/>
              </w:rPr>
              <w:t>m/s。根据《大气有害物质无组织排放卫生防护距离推导技术导则》（GB/T39499-2020）确定的计算模式如下：</w:t>
            </w:r>
          </w:p>
          <w:p>
            <w:pPr>
              <w:pStyle w:val="19"/>
              <w:autoSpaceDE w:val="0"/>
              <w:autoSpaceDN w:val="0"/>
              <w:adjustRightInd w:val="0"/>
              <w:snapToGrid w:val="0"/>
              <w:spacing w:line="360" w:lineRule="auto"/>
              <w:ind w:firstLine="420"/>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object>
                <v:shape id="_x0000_i1029" o:spt="75" type="#_x0000_t75" style="height:33.75pt;width:135.8pt;" o:ole="t" filled="f" o:preferrelative="t" stroked="f" coordsize="21600,21600">
                  <v:path/>
                  <v:fill on="f" focussize="0,0"/>
                  <v:stroke on="f"/>
                  <v:imagedata r:id="rId19" o:title=""/>
                  <o:lock v:ext="edit" grouping="f" rotation="f" text="f" aspectratio="t"/>
                  <w10:wrap type="none"/>
                  <w10:anchorlock/>
                </v:shape>
                <o:OLEObject Type="Embed" ProgID="Equation.DSMT4" ShapeID="_x0000_i1029" DrawAspect="Content" ObjectID="_1468075729" r:id="rId18">
                  <o:LockedField>false</o:LockedField>
                </o:OLEObject>
              </w:objec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式中：Qc——污染物无组织排放量，kg/h； </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Cm——标准浓度限值，mg/Nm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L——卫生防护距离，m；</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r——污染物无组织排放源所在生产单元的等效半径，m；</w:t>
            </w:r>
          </w:p>
          <w:p>
            <w:pPr>
              <w:pStyle w:val="19"/>
              <w:autoSpaceDE w:val="0"/>
              <w:autoSpaceDN w:val="0"/>
              <w:adjustRightInd w:val="0"/>
              <w:snapToGrid w:val="0"/>
              <w:spacing w:line="360" w:lineRule="auto"/>
              <w:ind w:firstLine="42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A，B，C，D：卫生防护距离计算系数，无因次。</w:t>
            </w:r>
          </w:p>
          <w:tbl>
            <w:tblPr>
              <w:tblStyle w:val="27"/>
              <w:tblW w:w="8312" w:type="dxa"/>
              <w:jc w:val="center"/>
              <w:tblLayout w:type="autofit"/>
              <w:tblCellMar>
                <w:top w:w="0" w:type="dxa"/>
                <w:left w:w="108" w:type="dxa"/>
                <w:bottom w:w="0" w:type="dxa"/>
                <w:right w:w="108" w:type="dxa"/>
              </w:tblCellMar>
            </w:tblPr>
            <w:tblGrid>
              <w:gridCol w:w="8312"/>
            </w:tblGrid>
            <w:tr>
              <w:tblPrEx>
                <w:tblCellMar>
                  <w:top w:w="0" w:type="dxa"/>
                  <w:left w:w="108" w:type="dxa"/>
                  <w:bottom w:w="0" w:type="dxa"/>
                  <w:right w:w="108" w:type="dxa"/>
                </w:tblCellMar>
              </w:tblPrEx>
              <w:trPr>
                <w:trHeight w:val="554" w:hRule="atLeast"/>
                <w:jc w:val="center"/>
              </w:trPr>
              <w:tc>
                <w:tcPr>
                  <w:tcW w:w="8312" w:type="dxa"/>
                  <w:noWrap w:val="0"/>
                  <w:vAlign w:val="center"/>
                </w:tcPr>
                <w:p>
                  <w:pPr>
                    <w:jc w:val="center"/>
                    <w:rPr>
                      <w:rFonts w:hint="eastAsia" w:ascii="Times New Roman" w:hAnsi="Times New Roman" w:eastAsia="Calibri" w:cs="Times New Roman"/>
                      <w:b/>
                      <w:bCs/>
                      <w:color w:val="auto"/>
                      <w:sz w:val="21"/>
                      <w:szCs w:val="21"/>
                      <w:lang w:eastAsia="zh-CN"/>
                    </w:rPr>
                  </w:pPr>
                  <w:r>
                    <w:rPr>
                      <w:rFonts w:hint="eastAsia" w:ascii="Times New Roman" w:hAnsi="Times New Roman" w:eastAsia="Calibri" w:cs="Times New Roman"/>
                      <w:b/>
                      <w:bCs/>
                      <w:color w:val="auto"/>
                      <w:sz w:val="21"/>
                      <w:szCs w:val="21"/>
                      <w:lang w:eastAsia="zh-CN"/>
                    </w:rPr>
                    <w:drawing>
                      <wp:inline distT="0" distB="0" distL="114300" distR="114300">
                        <wp:extent cx="2868295" cy="1669415"/>
                        <wp:effectExtent l="0" t="0" r="0" b="0"/>
                        <wp:docPr id="2" name="图片 2" descr="1672815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2815115(1)"/>
                                <pic:cNvPicPr>
                                  <a:picLocks noChangeAspect="1"/>
                                </pic:cNvPicPr>
                              </pic:nvPicPr>
                              <pic:blipFill>
                                <a:blip r:embed="rId20"/>
                                <a:srcRect b="1866"/>
                                <a:stretch>
                                  <a:fillRect/>
                                </a:stretch>
                              </pic:blipFill>
                              <pic:spPr>
                                <a:xfrm>
                                  <a:off x="0" y="0"/>
                                  <a:ext cx="2868295" cy="1669415"/>
                                </a:xfrm>
                                <a:prstGeom prst="rect">
                                  <a:avLst/>
                                </a:prstGeom>
                              </pic:spPr>
                            </pic:pic>
                          </a:graphicData>
                        </a:graphic>
                      </wp:inline>
                    </w:drawing>
                  </w:r>
                </w:p>
              </w:tc>
            </w:tr>
            <w:tr>
              <w:tblPrEx>
                <w:tblCellMar>
                  <w:top w:w="0" w:type="dxa"/>
                  <w:left w:w="108" w:type="dxa"/>
                  <w:bottom w:w="0" w:type="dxa"/>
                  <w:right w:w="108" w:type="dxa"/>
                </w:tblCellMar>
              </w:tblPrEx>
              <w:trPr>
                <w:trHeight w:val="379" w:hRule="atLeast"/>
                <w:jc w:val="center"/>
              </w:trPr>
              <w:tc>
                <w:tcPr>
                  <w:tcW w:w="8312" w:type="dxa"/>
                  <w:noWrap w:val="0"/>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图4-</w:t>
                  </w:r>
                  <w:r>
                    <w:rPr>
                      <w:rFonts w:hint="eastAsia" w:cs="Times New Roman"/>
                      <w:b/>
                      <w:bCs/>
                      <w:color w:val="auto"/>
                      <w:sz w:val="21"/>
                      <w:szCs w:val="21"/>
                      <w:lang w:val="en-US" w:eastAsia="zh-CN"/>
                    </w:rPr>
                    <w:t>2</w:t>
                  </w:r>
                  <w:r>
                    <w:rPr>
                      <w:rFonts w:hint="default" w:ascii="Times New Roman" w:hAnsi="Times New Roman" w:cs="Times New Roman"/>
                      <w:b/>
                      <w:bCs/>
                      <w:color w:val="auto"/>
                      <w:sz w:val="21"/>
                      <w:szCs w:val="21"/>
                    </w:rPr>
                    <w:t xml:space="preserve">  生产车间TVOC卫生防护距离计算截图</w:t>
                  </w:r>
                </w:p>
              </w:tc>
            </w:tr>
          </w:tbl>
          <w:p>
            <w:pPr>
              <w:spacing w:line="360" w:lineRule="auto"/>
              <w:ind w:firstLine="480" w:firstLineChars="200"/>
              <w:rPr>
                <w:rFonts w:hint="default" w:ascii="Times New Roman" w:hAnsi="Times New Roman" w:cs="Times New Roman"/>
                <w:bCs/>
                <w:snapToGrid w:val="0"/>
                <w:color w:val="FF0000"/>
                <w:sz w:val="24"/>
                <w:szCs w:val="24"/>
              </w:rPr>
            </w:pPr>
            <w:r>
              <w:rPr>
                <w:rFonts w:hint="default" w:ascii="Times New Roman" w:hAnsi="Times New Roman" w:cs="Times New Roman"/>
                <w:bCs/>
                <w:snapToGrid w:val="0"/>
                <w:color w:val="000000"/>
                <w:sz w:val="24"/>
                <w:szCs w:val="24"/>
              </w:rPr>
              <w:t>根据计算结果可知，本项目生产车间TVOC排放卫生防护距离计算值</w:t>
            </w:r>
            <w:r>
              <w:rPr>
                <w:rFonts w:hint="eastAsia" w:cs="Times New Roman"/>
                <w:bCs/>
                <w:snapToGrid w:val="0"/>
                <w:color w:val="000000"/>
                <w:sz w:val="24"/>
                <w:szCs w:val="24"/>
                <w:lang w:val="en-US" w:eastAsia="zh-CN"/>
              </w:rPr>
              <w:t>为</w:t>
            </w:r>
            <w:r>
              <w:rPr>
                <w:rFonts w:hint="default" w:ascii="Times New Roman" w:hAnsi="Times New Roman" w:cs="Times New Roman"/>
                <w:bCs/>
                <w:snapToGrid w:val="0"/>
                <w:color w:val="000000"/>
                <w:sz w:val="24"/>
                <w:szCs w:val="24"/>
              </w:rPr>
              <w:t>1m</w:t>
            </w:r>
            <w:r>
              <w:rPr>
                <w:rFonts w:hint="eastAsia" w:ascii="Times New Roman" w:hAnsi="Times New Roman" w:cs="Times New Roman"/>
                <w:bCs/>
                <w:snapToGrid w:val="0"/>
                <w:color w:val="000000"/>
                <w:sz w:val="24"/>
                <w:szCs w:val="24"/>
                <w:lang w:eastAsia="zh-CN"/>
              </w:rPr>
              <w:t>，</w:t>
            </w:r>
            <w:r>
              <w:rPr>
                <w:rFonts w:hint="default" w:ascii="Times New Roman" w:hAnsi="Times New Roman" w:cs="Times New Roman"/>
                <w:bCs/>
                <w:snapToGrid w:val="0"/>
                <w:color w:val="000000"/>
                <w:sz w:val="24"/>
                <w:szCs w:val="24"/>
              </w:rPr>
              <w:t>根据</w:t>
            </w:r>
            <w:r>
              <w:rPr>
                <w:rFonts w:hint="default" w:ascii="Times New Roman" w:hAnsi="Times New Roman" w:cs="Times New Roman"/>
                <w:color w:val="000000"/>
                <w:sz w:val="24"/>
                <w:szCs w:val="24"/>
              </w:rPr>
              <w:t>《大气有害物质无组织排放卫生防护距离推导技术导则》（GB/T39499-2020）</w:t>
            </w:r>
            <w:r>
              <w:rPr>
                <w:rFonts w:hint="eastAsia" w:ascii="Times New Roman" w:hAnsi="Times New Roman" w:cs="Times New Roman"/>
                <w:bCs/>
                <w:snapToGrid w:val="0"/>
                <w:color w:val="000000"/>
                <w:sz w:val="24"/>
                <w:szCs w:val="24"/>
                <w:lang w:eastAsia="zh-CN"/>
              </w:rPr>
              <w:t>，</w:t>
            </w:r>
            <w:r>
              <w:rPr>
                <w:rFonts w:hint="default" w:ascii="Times New Roman" w:hAnsi="Times New Roman" w:cs="Times New Roman"/>
                <w:bCs/>
                <w:snapToGrid w:val="0"/>
                <w:color w:val="000000"/>
                <w:sz w:val="24"/>
                <w:szCs w:val="24"/>
              </w:rPr>
              <w:t>确定项目卫生防护距离为生产车间边界外延</w:t>
            </w:r>
            <w:r>
              <w:rPr>
                <w:rFonts w:hint="eastAsia" w:ascii="Times New Roman" w:hAnsi="Times New Roman" w:cs="Times New Roman"/>
                <w:bCs/>
                <w:snapToGrid w:val="0"/>
                <w:color w:val="000000"/>
                <w:sz w:val="24"/>
                <w:szCs w:val="24"/>
                <w:lang w:val="en-US" w:eastAsia="zh-CN"/>
              </w:rPr>
              <w:t>5</w:t>
            </w:r>
            <w:r>
              <w:rPr>
                <w:rFonts w:hint="default" w:ascii="Times New Roman" w:hAnsi="Times New Roman" w:cs="Times New Roman"/>
                <w:bCs/>
                <w:snapToGrid w:val="0"/>
                <w:color w:val="000000"/>
                <w:sz w:val="24"/>
                <w:szCs w:val="24"/>
              </w:rPr>
              <w:t>0m范围内。</w:t>
            </w:r>
            <w:r>
              <w:rPr>
                <w:rFonts w:hint="default" w:ascii="Times New Roman" w:hAnsi="Times New Roman" w:cs="Times New Roman"/>
                <w:bCs/>
                <w:snapToGrid w:val="0"/>
                <w:color w:val="auto"/>
                <w:sz w:val="24"/>
                <w:szCs w:val="24"/>
              </w:rPr>
              <w:t>根据现场探勘情况可知，项目周边最近敏感点为</w:t>
            </w:r>
            <w:r>
              <w:rPr>
                <w:rFonts w:hint="eastAsia" w:ascii="Times New Roman" w:hAnsi="Times New Roman" w:cs="Times New Roman"/>
                <w:bCs/>
                <w:snapToGrid w:val="0"/>
                <w:color w:val="auto"/>
                <w:sz w:val="24"/>
                <w:szCs w:val="24"/>
                <w:lang w:val="en-US" w:eastAsia="zh-CN"/>
              </w:rPr>
              <w:t>西南</w:t>
            </w:r>
            <w:r>
              <w:rPr>
                <w:rFonts w:hint="default" w:ascii="Times New Roman" w:hAnsi="Times New Roman" w:cs="Times New Roman"/>
                <w:bCs/>
                <w:snapToGrid w:val="0"/>
                <w:color w:val="auto"/>
                <w:sz w:val="24"/>
                <w:szCs w:val="24"/>
              </w:rPr>
              <w:t>的</w:t>
            </w:r>
            <w:r>
              <w:rPr>
                <w:rFonts w:hint="eastAsia" w:ascii="Times New Roman" w:hAnsi="Times New Roman" w:cs="Times New Roman"/>
                <w:bCs/>
                <w:snapToGrid w:val="0"/>
                <w:color w:val="auto"/>
                <w:sz w:val="24"/>
                <w:szCs w:val="24"/>
                <w:lang w:val="en-US" w:eastAsia="zh-CN"/>
              </w:rPr>
              <w:t>合口大坝鱼庄</w:t>
            </w:r>
            <w:r>
              <w:rPr>
                <w:rFonts w:hint="default" w:ascii="Times New Roman" w:hAnsi="Times New Roman" w:cs="Times New Roman"/>
                <w:bCs/>
                <w:snapToGrid w:val="0"/>
                <w:color w:val="auto"/>
                <w:sz w:val="24"/>
                <w:szCs w:val="24"/>
              </w:rPr>
              <w:t>，距离项目生产车间最近距离约为</w:t>
            </w:r>
            <w:r>
              <w:rPr>
                <w:rFonts w:hint="eastAsia" w:ascii="Times New Roman" w:hAnsi="Times New Roman" w:cs="Times New Roman"/>
                <w:bCs/>
                <w:snapToGrid w:val="0"/>
                <w:color w:val="auto"/>
                <w:sz w:val="24"/>
                <w:szCs w:val="24"/>
                <w:lang w:val="en-US" w:eastAsia="zh-CN"/>
              </w:rPr>
              <w:t>350</w:t>
            </w:r>
            <w:r>
              <w:rPr>
                <w:rFonts w:hint="default" w:ascii="Times New Roman" w:hAnsi="Times New Roman" w:cs="Times New Roman"/>
                <w:bCs/>
                <w:snapToGrid w:val="0"/>
                <w:color w:val="auto"/>
                <w:sz w:val="24"/>
                <w:szCs w:val="24"/>
              </w:rPr>
              <w:t>m，即项目卫生防护范围内无集中居民、学校、医院等特殊敏感点，可以满足卫生防护距离要求，同时本环评要求企业在车间加强通风以进一步减轻项目产生的废气对区域环境的影响，且卫生防护距离内禁止新建食品等需要特殊保护企业。</w:t>
            </w:r>
          </w:p>
          <w:p>
            <w:pPr>
              <w:spacing w:line="360" w:lineRule="auto"/>
              <w:ind w:firstLine="480" w:firstLineChars="200"/>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4</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污染物排放量核算</w:t>
            </w:r>
          </w:p>
          <w:p>
            <w:pPr>
              <w:widowControl/>
              <w:spacing w:line="360" w:lineRule="auto"/>
              <w:ind w:firstLine="480" w:firstLineChars="200"/>
              <w:rPr>
                <w:rFonts w:hint="default" w:ascii="Times New Roman" w:hAnsi="Times New Roman" w:cs="Times New Roman"/>
                <w:b/>
                <w:bCs/>
                <w:color w:val="000000"/>
                <w:sz w:val="24"/>
                <w:szCs w:val="24"/>
              </w:rPr>
            </w:pPr>
            <w:r>
              <w:rPr>
                <w:rFonts w:hint="default" w:ascii="Times New Roman" w:hAnsi="Times New Roman" w:cs="Times New Roman"/>
                <w:color w:val="000000"/>
                <w:sz w:val="24"/>
                <w:szCs w:val="24"/>
              </w:rPr>
              <w:t>项目废气污染物排放量核算详见表4-</w:t>
            </w:r>
            <w:r>
              <w:rPr>
                <w:rFonts w:hint="eastAsia" w:cs="Times New Roman"/>
                <w:color w:val="000000"/>
                <w:sz w:val="24"/>
                <w:szCs w:val="24"/>
                <w:lang w:val="en-US" w:eastAsia="zh-CN"/>
              </w:rPr>
              <w:t>8</w:t>
            </w:r>
            <w:r>
              <w:rPr>
                <w:rFonts w:hint="default" w:ascii="Times New Roman" w:hAnsi="Times New Roman" w:cs="Times New Roman"/>
                <w:color w:val="000000"/>
                <w:sz w:val="24"/>
                <w:szCs w:val="24"/>
              </w:rPr>
              <w:t>~4-</w:t>
            </w:r>
            <w:r>
              <w:rPr>
                <w:rFonts w:hint="eastAsia" w:cs="Times New Roman"/>
                <w:color w:val="000000"/>
                <w:sz w:val="24"/>
                <w:szCs w:val="24"/>
                <w:lang w:val="en-US" w:eastAsia="zh-CN"/>
              </w:rPr>
              <w:t>11</w:t>
            </w:r>
            <w:r>
              <w:rPr>
                <w:rFonts w:hint="default" w:ascii="Times New Roman" w:hAnsi="Times New Roman" w:cs="Times New Roman"/>
                <w:color w:val="000000"/>
                <w:sz w:val="24"/>
                <w:szCs w:val="24"/>
              </w:rPr>
              <w:t>。</w:t>
            </w:r>
          </w:p>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b/>
                <w:bCs/>
                <w:snapToGrid w:val="0"/>
                <w:color w:val="auto"/>
                <w:spacing w:val="4"/>
                <w:kern w:val="18"/>
                <w:szCs w:val="21"/>
              </w:rPr>
            </w:pPr>
            <w:r>
              <w:rPr>
                <w:rFonts w:hint="default" w:ascii="Times New Roman" w:hAnsi="Times New Roman" w:cs="Times New Roman"/>
                <w:b/>
                <w:bCs/>
                <w:snapToGrid w:val="0"/>
                <w:color w:val="auto"/>
                <w:spacing w:val="4"/>
                <w:kern w:val="18"/>
                <w:szCs w:val="21"/>
              </w:rPr>
              <w:t>表4-</w:t>
            </w:r>
            <w:r>
              <w:rPr>
                <w:rFonts w:hint="eastAsia" w:cs="Times New Roman"/>
                <w:b/>
                <w:bCs/>
                <w:snapToGrid w:val="0"/>
                <w:color w:val="auto"/>
                <w:spacing w:val="4"/>
                <w:kern w:val="18"/>
                <w:szCs w:val="21"/>
                <w:lang w:val="en-US" w:eastAsia="zh-CN"/>
              </w:rPr>
              <w:t>8</w:t>
            </w:r>
            <w:r>
              <w:rPr>
                <w:rFonts w:hint="default" w:ascii="Times New Roman" w:hAnsi="Times New Roman" w:cs="Times New Roman"/>
                <w:b/>
                <w:bCs/>
                <w:snapToGrid w:val="0"/>
                <w:color w:val="auto"/>
                <w:spacing w:val="4"/>
                <w:kern w:val="18"/>
                <w:szCs w:val="21"/>
              </w:rPr>
              <w:t xml:space="preserve">  大气污染物有组织排放量核算表</w:t>
            </w:r>
          </w:p>
          <w:tbl>
            <w:tblPr>
              <w:tblStyle w:val="2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305"/>
              <w:gridCol w:w="844"/>
              <w:gridCol w:w="2221"/>
              <w:gridCol w:w="1887"/>
              <w:gridCol w:w="16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250"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787"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排放口编号</w:t>
                  </w:r>
                </w:p>
              </w:tc>
              <w:tc>
                <w:tcPr>
                  <w:tcW w:w="510"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1338"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核算排放浓度/(mg/m</w:t>
                  </w:r>
                  <w:r>
                    <w:rPr>
                      <w:rFonts w:hint="default" w:ascii="Times New Roman" w:hAnsi="Times New Roman" w:cs="Times New Roman"/>
                      <w:b/>
                      <w:color w:val="auto"/>
                      <w:szCs w:val="21"/>
                      <w:vertAlign w:val="superscript"/>
                    </w:rPr>
                    <w:t>3</w:t>
                  </w:r>
                  <w:r>
                    <w:rPr>
                      <w:rFonts w:hint="default" w:ascii="Times New Roman" w:hAnsi="Times New Roman" w:cs="Times New Roman"/>
                      <w:b/>
                      <w:color w:val="auto"/>
                      <w:szCs w:val="21"/>
                    </w:rPr>
                    <w:t>)</w:t>
                  </w:r>
                </w:p>
              </w:tc>
              <w:tc>
                <w:tcPr>
                  <w:tcW w:w="1137"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核算排放速率/(kg/h)</w:t>
                  </w:r>
                </w:p>
              </w:tc>
              <w:tc>
                <w:tcPr>
                  <w:tcW w:w="976"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6"/>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p>
              </w:tc>
              <w:tc>
                <w:tcPr>
                  <w:tcW w:w="78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DA001</w:t>
                  </w:r>
                </w:p>
              </w:tc>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133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eastAsia="Calibri" w:cs="Times New Roman"/>
                      <w:color w:val="auto"/>
                      <w:szCs w:val="21"/>
                      <w:lang w:val="en-US" w:eastAsia="zh-CN"/>
                    </w:rPr>
                    <w:t>20</w:t>
                  </w:r>
                </w:p>
              </w:tc>
              <w:tc>
                <w:tcPr>
                  <w:tcW w:w="11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eastAsia="Calibri" w:cs="Times New Roman"/>
                      <w:color w:val="auto"/>
                      <w:szCs w:val="21"/>
                      <w:lang w:val="en-US" w:eastAsia="zh-CN"/>
                    </w:rPr>
                    <w:t>0.1</w:t>
                  </w:r>
                </w:p>
              </w:tc>
              <w:tc>
                <w:tcPr>
                  <w:tcW w:w="9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Calibri" w:cs="Times New Roman"/>
                      <w:color w:val="auto"/>
                      <w:szCs w:val="21"/>
                      <w:lang w:val="en-US" w:eastAsia="zh-CN"/>
                    </w:rPr>
                  </w:pPr>
                  <w:r>
                    <w:rPr>
                      <w:rFonts w:hint="eastAsia" w:ascii="Times New Roman" w:hAnsi="Times New Roman" w:eastAsia="Calibri" w:cs="Times New Roman"/>
                      <w:color w:val="auto"/>
                      <w:szCs w:val="21"/>
                      <w:lang w:val="en-US" w:eastAsia="zh-CN"/>
                    </w:rPr>
                    <w:t>0.</w:t>
                  </w:r>
                  <w:r>
                    <w:rPr>
                      <w:rFonts w:hint="eastAsia" w:eastAsia="Calibri" w:cs="Times New Roman"/>
                      <w:color w:val="auto"/>
                      <w:szCs w:val="21"/>
                      <w:lang w:val="en-US" w:eastAsia="zh-CN"/>
                    </w:rPr>
                    <w:t>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color w:val="auto"/>
                      <w:szCs w:val="21"/>
                    </w:rPr>
                  </w:pPr>
                  <w:r>
                    <w:rPr>
                      <w:rFonts w:hint="default" w:ascii="Times New Roman" w:hAnsi="Times New Roman" w:cs="Times New Roman"/>
                      <w:b/>
                      <w:color w:val="auto"/>
                      <w:szCs w:val="21"/>
                    </w:rPr>
                    <w:t>一般排放口合计</w:t>
                  </w:r>
                </w:p>
              </w:tc>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DA001</w:t>
                  </w:r>
                </w:p>
              </w:tc>
              <w:tc>
                <w:tcPr>
                  <w:tcW w:w="247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9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Calibri" w:cs="Times New Roman"/>
                      <w:color w:val="auto"/>
                      <w:szCs w:val="21"/>
                      <w:lang w:val="en-US" w:eastAsia="zh-CN"/>
                    </w:rPr>
                    <w:t>0.</w:t>
                  </w:r>
                  <w:r>
                    <w:rPr>
                      <w:rFonts w:hint="eastAsia" w:eastAsia="Calibri" w:cs="Times New Roman"/>
                      <w:color w:val="auto"/>
                      <w:szCs w:val="21"/>
                      <w:lang w:val="en-US" w:eastAsia="zh-CN"/>
                    </w:rPr>
                    <w:t>34</w:t>
                  </w:r>
                </w:p>
              </w:tc>
            </w:tr>
          </w:tbl>
          <w:p>
            <w:pPr>
              <w:widowControl/>
              <w:spacing w:before="120" w:beforeLines="5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表4-</w:t>
            </w:r>
            <w:r>
              <w:rPr>
                <w:rFonts w:hint="eastAsia" w:cs="Times New Roman"/>
                <w:b/>
                <w:bCs/>
                <w:color w:val="auto"/>
                <w:szCs w:val="21"/>
                <w:lang w:val="en-US" w:eastAsia="zh-CN"/>
              </w:rPr>
              <w:t>9</w:t>
            </w:r>
            <w:r>
              <w:rPr>
                <w:rFonts w:hint="default" w:ascii="Times New Roman" w:hAnsi="Times New Roman" w:cs="Times New Roman"/>
                <w:b/>
                <w:bCs/>
                <w:color w:val="auto"/>
                <w:szCs w:val="21"/>
              </w:rPr>
              <w:t xml:space="preserve">  大气污染物无组织排放量核算表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28"/>
              <w:gridCol w:w="941"/>
              <w:gridCol w:w="738"/>
              <w:gridCol w:w="1147"/>
              <w:gridCol w:w="2106"/>
              <w:gridCol w:w="1112"/>
              <w:gridCol w:w="10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56"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499"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排放口</w:t>
                  </w:r>
                </w:p>
              </w:tc>
              <w:tc>
                <w:tcPr>
                  <w:tcW w:w="565"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产污</w:t>
                  </w:r>
                </w:p>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环节</w:t>
                  </w:r>
                </w:p>
              </w:tc>
              <w:tc>
                <w:tcPr>
                  <w:tcW w:w="444"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690"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主要污染防治措施</w:t>
                  </w:r>
                </w:p>
              </w:tc>
              <w:tc>
                <w:tcPr>
                  <w:tcW w:w="1936" w:type="pct"/>
                  <w:gridSpan w:val="2"/>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国家或地方污染物排放标准</w:t>
                  </w:r>
                </w:p>
              </w:tc>
              <w:tc>
                <w:tcPr>
                  <w:tcW w:w="607" w:type="pct"/>
                  <w:vMerge w:val="restart"/>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6"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499"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565"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444"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690"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c>
                <w:tcPr>
                  <w:tcW w:w="1267" w:type="pct"/>
                  <w:tcBorders>
                    <w:bottom w:val="single" w:color="000000" w:sz="12" w:space="0"/>
                  </w:tcBorders>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标准名称</w:t>
                  </w:r>
                </w:p>
              </w:tc>
              <w:tc>
                <w:tcPr>
                  <w:tcW w:w="669" w:type="pct"/>
                  <w:tcBorders>
                    <w:bottom w:val="single" w:color="000000" w:sz="12" w:space="0"/>
                  </w:tcBorders>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浓度限值/(mg/m</w:t>
                  </w:r>
                  <w:r>
                    <w:rPr>
                      <w:rFonts w:hint="default" w:ascii="Times New Roman" w:hAnsi="Times New Roman" w:cs="Times New Roman"/>
                      <w:b/>
                      <w:color w:val="auto"/>
                      <w:szCs w:val="21"/>
                      <w:vertAlign w:val="superscript"/>
                    </w:rPr>
                    <w:t>3</w:t>
                  </w:r>
                  <w:r>
                    <w:rPr>
                      <w:rFonts w:hint="default" w:ascii="Times New Roman" w:hAnsi="Times New Roman" w:cs="Times New Roman"/>
                      <w:b/>
                      <w:color w:val="auto"/>
                      <w:szCs w:val="21"/>
                    </w:rPr>
                    <w:t>)</w:t>
                  </w:r>
                </w:p>
              </w:tc>
              <w:tc>
                <w:tcPr>
                  <w:tcW w:w="607" w:type="pct"/>
                  <w:vMerge w:val="continue"/>
                  <w:tcBorders>
                    <w:bottom w:val="single" w:color="000000" w:sz="12" w:space="0"/>
                  </w:tcBorders>
                  <w:noWrap w:val="0"/>
                  <w:vAlign w:val="center"/>
                </w:tcPr>
                <w:p>
                  <w:pPr>
                    <w:widowControl/>
                    <w:jc w:val="center"/>
                    <w:rPr>
                      <w:rFonts w:hint="default" w:ascii="Times New Roman" w:hAnsi="Times New Roman" w:cs="Times New Roman"/>
                      <w:b/>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56" w:type="pct"/>
                  <w:tcBorders>
                    <w:top w:val="single" w:color="000000" w:sz="12" w:space="0"/>
                    <w:bottom w:val="single" w:color="000000" w:sz="8" w:space="0"/>
                  </w:tcBorders>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499" w:type="pct"/>
                  <w:tcBorders>
                    <w:top w:val="single" w:color="000000" w:sz="12" w:space="0"/>
                  </w:tcBorders>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生产</w:t>
                  </w:r>
                </w:p>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车间</w:t>
                  </w:r>
                </w:p>
              </w:tc>
              <w:tc>
                <w:tcPr>
                  <w:tcW w:w="565" w:type="pct"/>
                  <w:tcBorders>
                    <w:top w:val="single" w:color="000000" w:sz="12" w:space="0"/>
                    <w:bottom w:val="single" w:color="000000" w:sz="8" w:space="0"/>
                  </w:tcBorders>
                  <w:noWrap w:val="0"/>
                  <w:vAlign w:val="center"/>
                </w:tcPr>
                <w:p>
                  <w:pPr>
                    <w:widowControl/>
                    <w:jc w:val="center"/>
                    <w:rPr>
                      <w:rFonts w:hint="default" w:ascii="Times New Roman" w:hAnsi="Times New Roman" w:eastAsia="Calibri" w:cs="Times New Roman"/>
                      <w:color w:val="auto"/>
                      <w:szCs w:val="21"/>
                      <w:lang w:val="en-US" w:eastAsia="zh-CN"/>
                    </w:rPr>
                  </w:pPr>
                  <w:r>
                    <w:rPr>
                      <w:rFonts w:hint="eastAsia" w:ascii="Times New Roman" w:hAnsi="Times New Roman" w:cs="Times New Roman"/>
                      <w:color w:val="auto"/>
                      <w:szCs w:val="21"/>
                      <w:lang w:val="en-US" w:eastAsia="zh-CN"/>
                    </w:rPr>
                    <w:t>酒精擦拭、胶合、点胶</w:t>
                  </w:r>
                </w:p>
              </w:tc>
              <w:tc>
                <w:tcPr>
                  <w:tcW w:w="444" w:type="pct"/>
                  <w:tcBorders>
                    <w:top w:val="single" w:color="000000" w:sz="12" w:space="0"/>
                    <w:bottom w:val="single" w:color="000000" w:sz="4" w:space="0"/>
                  </w:tcBorders>
                  <w:noWrap w:val="0"/>
                  <w:vAlign w:val="center"/>
                </w:tcPr>
                <w:p>
                  <w:pPr>
                    <w:widowControl/>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690" w:type="pct"/>
                  <w:tcBorders>
                    <w:top w:val="single" w:color="000000" w:sz="12" w:space="0"/>
                  </w:tcBorders>
                  <w:noWrap w:val="0"/>
                  <w:vAlign w:val="center"/>
                </w:tcPr>
                <w:p>
                  <w:pPr>
                    <w:widowControl/>
                    <w:jc w:val="center"/>
                    <w:rPr>
                      <w:rFonts w:hint="default" w:ascii="Times New Roman" w:hAnsi="Times New Roman" w:eastAsia="Calibri" w:cs="Times New Roman"/>
                      <w:color w:val="auto"/>
                      <w:szCs w:val="21"/>
                      <w:lang w:val="en-US" w:eastAsia="zh-CN"/>
                    </w:rPr>
                  </w:pPr>
                  <w:r>
                    <w:rPr>
                      <w:rFonts w:hint="default" w:ascii="Times New Roman" w:hAnsi="Times New Roman" w:cs="Times New Roman"/>
                      <w:color w:val="auto"/>
                      <w:szCs w:val="21"/>
                    </w:rPr>
                    <w:t>加强</w:t>
                  </w:r>
                  <w:r>
                    <w:rPr>
                      <w:rFonts w:hint="eastAsia" w:ascii="Times New Roman" w:hAnsi="Times New Roman" w:cs="Times New Roman"/>
                      <w:color w:val="auto"/>
                      <w:szCs w:val="21"/>
                      <w:lang w:val="en-US" w:eastAsia="zh-CN"/>
                    </w:rPr>
                    <w:t>车间通风</w:t>
                  </w:r>
                </w:p>
              </w:tc>
              <w:tc>
                <w:tcPr>
                  <w:tcW w:w="1267" w:type="pct"/>
                  <w:tcBorders>
                    <w:top w:val="single" w:color="000000" w:sz="12" w:space="0"/>
                  </w:tcBorders>
                  <w:noWrap w:val="0"/>
                  <w:vAlign w:val="center"/>
                </w:tcPr>
                <w:p>
                  <w:pPr>
                    <w:pStyle w:val="11"/>
                    <w:snapToGrid/>
                    <w:spacing w:after="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1"/>
                      <w:szCs w:val="21"/>
                    </w:rPr>
                    <w:t>《工业企业挥发性有机物排放控制标准》（DB12/524-2020）中无组织浓度限值</w:t>
                  </w:r>
                </w:p>
              </w:tc>
              <w:tc>
                <w:tcPr>
                  <w:tcW w:w="669" w:type="pct"/>
                  <w:tcBorders>
                    <w:top w:val="single" w:color="000000" w:sz="12" w:space="0"/>
                  </w:tcBorders>
                  <w:noWrap w:val="0"/>
                  <w:vAlign w:val="center"/>
                </w:tcPr>
                <w:p>
                  <w:pPr>
                    <w:pStyle w:val="11"/>
                    <w:snapToGrid/>
                    <w:spacing w:after="0"/>
                    <w:jc w:val="center"/>
                    <w:rPr>
                      <w:rFonts w:hint="default" w:ascii="Times New Roman" w:hAnsi="Times New Roman" w:cs="Times New Roman"/>
                      <w:color w:val="auto"/>
                      <w:kern w:val="2"/>
                      <w:sz w:val="21"/>
                      <w:szCs w:val="21"/>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.0</w:t>
                  </w:r>
                </w:p>
              </w:tc>
              <w:tc>
                <w:tcPr>
                  <w:tcW w:w="607" w:type="pct"/>
                  <w:tcBorders>
                    <w:top w:val="single" w:color="000000" w:sz="12" w:space="0"/>
                    <w:bottom w:val="single" w:color="000000" w:sz="4" w:space="0"/>
                  </w:tcBorders>
                  <w:noWrap w:val="0"/>
                  <w:vAlign w:val="center"/>
                </w:tcPr>
                <w:p>
                  <w:pPr>
                    <w:widowControl/>
                    <w:jc w:val="center"/>
                    <w:rPr>
                      <w:rFonts w:hint="default" w:ascii="Times New Roman" w:hAnsi="Times New Roman" w:eastAsia="Calibri" w:cs="Times New Roman"/>
                      <w:color w:val="auto"/>
                      <w:szCs w:val="21"/>
                      <w:lang w:val="en-US" w:eastAsia="zh-CN"/>
                    </w:rPr>
                  </w:pPr>
                  <w:r>
                    <w:rPr>
                      <w:rFonts w:hint="eastAsia" w:eastAsia="Calibri" w:cs="Times New Roman"/>
                      <w:color w:val="auto"/>
                      <w:szCs w:val="21"/>
                      <w:lang w:val="en-US" w:eastAsia="zh-CN"/>
                    </w:rPr>
                    <w:t>0.186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00" w:type="pct"/>
                  <w:gridSpan w:val="8"/>
                  <w:noWrap w:val="0"/>
                  <w:vAlign w:val="center"/>
                </w:tcPr>
                <w:p>
                  <w:pPr>
                    <w:widowControl/>
                    <w:jc w:val="center"/>
                    <w:rPr>
                      <w:rFonts w:hint="default" w:ascii="Times New Roman" w:hAnsi="Times New Roman" w:cs="Times New Roman"/>
                      <w:b/>
                      <w:color w:val="FF0000"/>
                      <w:szCs w:val="21"/>
                    </w:rPr>
                  </w:pPr>
                  <w:r>
                    <w:rPr>
                      <w:rFonts w:hint="default" w:ascii="Times New Roman" w:hAnsi="Times New Roman" w:cs="Times New Roman"/>
                      <w:b/>
                      <w:color w:val="auto"/>
                      <w:szCs w:val="21"/>
                    </w:rPr>
                    <w:t>无组织排放总计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22" w:type="pct"/>
                  <w:gridSpan w:val="3"/>
                  <w:noWrap w:val="0"/>
                  <w:vAlign w:val="center"/>
                </w:tcPr>
                <w:p>
                  <w:pPr>
                    <w:widowControl/>
                    <w:jc w:val="center"/>
                    <w:rPr>
                      <w:rFonts w:hint="default" w:ascii="Times New Roman" w:hAnsi="Times New Roman" w:cs="Times New Roman"/>
                      <w:b/>
                      <w:color w:val="auto"/>
                      <w:szCs w:val="21"/>
                    </w:rPr>
                  </w:pPr>
                  <w:r>
                    <w:rPr>
                      <w:rFonts w:hint="default" w:ascii="Times New Roman" w:hAnsi="Times New Roman" w:cs="Times New Roman"/>
                      <w:b/>
                      <w:color w:val="auto"/>
                      <w:szCs w:val="21"/>
                    </w:rPr>
                    <w:t>无组织排放总计</w:t>
                  </w:r>
                </w:p>
              </w:tc>
              <w:tc>
                <w:tcPr>
                  <w:tcW w:w="1134" w:type="pct"/>
                  <w:gridSpan w:val="2"/>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1936" w:type="pct"/>
                  <w:gridSpan w:val="2"/>
                  <w:noWrap w:val="0"/>
                  <w:vAlign w:val="center"/>
                </w:tcPr>
                <w:p>
                  <w:pPr>
                    <w:widowControl/>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607" w:type="pct"/>
                  <w:noWrap w:val="0"/>
                  <w:vAlign w:val="center"/>
                </w:tcPr>
                <w:p>
                  <w:pPr>
                    <w:widowControl/>
                    <w:jc w:val="center"/>
                    <w:rPr>
                      <w:rFonts w:hint="default" w:ascii="Times New Roman" w:hAnsi="Times New Roman" w:eastAsia="宋体" w:cs="Times New Roman"/>
                      <w:color w:val="auto"/>
                      <w:szCs w:val="21"/>
                      <w:lang w:val="en-US" w:eastAsia="zh-CN"/>
                    </w:rPr>
                  </w:pPr>
                  <w:r>
                    <w:rPr>
                      <w:rFonts w:hint="eastAsia" w:eastAsia="Calibri" w:cs="Times New Roman"/>
                      <w:color w:val="auto"/>
                      <w:szCs w:val="21"/>
                      <w:lang w:val="en-US" w:eastAsia="zh-CN"/>
                    </w:rPr>
                    <w:t>0.186</w:t>
                  </w:r>
                </w:p>
              </w:tc>
            </w:tr>
          </w:tbl>
          <w:p>
            <w:pPr>
              <w:widowControl/>
              <w:spacing w:before="120" w:beforeLines="50"/>
              <w:jc w:val="center"/>
              <w:rPr>
                <w:rFonts w:hint="default" w:ascii="Times New Roman" w:hAnsi="Times New Roman" w:cs="Times New Roman"/>
                <w:b/>
                <w:bCs/>
                <w:snapToGrid w:val="0"/>
                <w:color w:val="auto"/>
                <w:spacing w:val="4"/>
                <w:kern w:val="18"/>
                <w:szCs w:val="21"/>
              </w:rPr>
            </w:pPr>
            <w:r>
              <w:rPr>
                <w:rFonts w:hint="default" w:ascii="Times New Roman" w:hAnsi="Times New Roman" w:cs="Times New Roman"/>
                <w:b/>
                <w:bCs/>
                <w:snapToGrid w:val="0"/>
                <w:color w:val="auto"/>
                <w:spacing w:val="4"/>
                <w:kern w:val="18"/>
                <w:szCs w:val="21"/>
              </w:rPr>
              <w:t>表4-</w:t>
            </w:r>
            <w:r>
              <w:rPr>
                <w:rFonts w:hint="eastAsia" w:cs="Times New Roman"/>
                <w:b/>
                <w:bCs/>
                <w:snapToGrid w:val="0"/>
                <w:color w:val="auto"/>
                <w:spacing w:val="4"/>
                <w:kern w:val="18"/>
                <w:szCs w:val="21"/>
                <w:lang w:val="en-US" w:eastAsia="zh-CN"/>
              </w:rPr>
              <w:t>10</w:t>
            </w:r>
            <w:r>
              <w:rPr>
                <w:rFonts w:hint="default" w:ascii="Times New Roman" w:hAnsi="Times New Roman" w:cs="Times New Roman"/>
                <w:b/>
                <w:bCs/>
                <w:snapToGrid w:val="0"/>
                <w:color w:val="auto"/>
                <w:spacing w:val="4"/>
                <w:kern w:val="18"/>
                <w:szCs w:val="21"/>
              </w:rPr>
              <w:t xml:space="preserve">  大气污染物年排放量核算表</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37"/>
              <w:gridCol w:w="2045"/>
              <w:gridCol w:w="2115"/>
              <w:gridCol w:w="22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tblHeader/>
                <w:jc w:val="center"/>
              </w:trPr>
              <w:tc>
                <w:tcPr>
                  <w:tcW w:w="1166" w:type="pct"/>
                  <w:tcBorders>
                    <w:bottom w:val="single" w:color="auto" w:sz="12" w:space="0"/>
                  </w:tcBorders>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排放方式</w:t>
                  </w:r>
                </w:p>
              </w:tc>
              <w:tc>
                <w:tcPr>
                  <w:tcW w:w="2502" w:type="pct"/>
                  <w:gridSpan w:val="2"/>
                  <w:tcBorders>
                    <w:bottom w:val="single" w:color="auto" w:sz="12" w:space="0"/>
                  </w:tcBorders>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1331" w:type="pct"/>
                  <w:tcBorders>
                    <w:bottom w:val="single" w:color="auto" w:sz="12" w:space="0"/>
                  </w:tcBorders>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66" w:type="pct"/>
                  <w:noWrap w:val="0"/>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有组织排放总计</w:t>
                  </w:r>
                </w:p>
              </w:tc>
              <w:tc>
                <w:tcPr>
                  <w:tcW w:w="1230" w:type="pct"/>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DA001</w:t>
                  </w:r>
                </w:p>
              </w:tc>
              <w:tc>
                <w:tcPr>
                  <w:tcW w:w="1272" w:type="pct"/>
                  <w:noWrap w:val="0"/>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1331" w:type="pct"/>
                  <w:noWrap w:val="0"/>
                  <w:vAlign w:val="center"/>
                </w:tcPr>
                <w:p>
                  <w:pPr>
                    <w:jc w:val="center"/>
                    <w:rPr>
                      <w:rFonts w:hint="default" w:ascii="Times New Roman" w:hAnsi="Times New Roman" w:cs="Times New Roman"/>
                      <w:color w:val="auto"/>
                      <w:szCs w:val="21"/>
                      <w:lang w:val="en-US"/>
                    </w:rPr>
                  </w:pPr>
                  <w:r>
                    <w:rPr>
                      <w:rFonts w:hint="eastAsia" w:eastAsia="Calibri" w:cs="Times New Roman"/>
                      <w:color w:val="auto"/>
                      <w:szCs w:val="21"/>
                      <w:lang w:val="en-US" w:eastAsia="zh-CN"/>
                    </w:rPr>
                    <w:t>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66" w:type="pct"/>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无组织排放总计</w:t>
                  </w:r>
                </w:p>
              </w:tc>
              <w:tc>
                <w:tcPr>
                  <w:tcW w:w="1230" w:type="pct"/>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生产车间</w:t>
                  </w:r>
                </w:p>
              </w:tc>
              <w:tc>
                <w:tcPr>
                  <w:tcW w:w="1272" w:type="pct"/>
                  <w:noWrap w:val="0"/>
                  <w:vAlign w:val="center"/>
                </w:tcPr>
                <w:p>
                  <w:pPr>
                    <w:widowControl/>
                    <w:jc w:val="center"/>
                    <w:rPr>
                      <w:rFonts w:hint="default" w:ascii="Times New Roman" w:hAnsi="Times New Roman" w:eastAsia="宋体" w:cs="Times New Roman"/>
                      <w:color w:val="FF0000"/>
                      <w:kern w:val="2"/>
                      <w:sz w:val="21"/>
                      <w:szCs w:val="21"/>
                      <w:lang w:val="en-US" w:eastAsia="zh-CN" w:bidi="ar-SA"/>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1331" w:type="pct"/>
                  <w:noWrap w:val="0"/>
                  <w:vAlign w:val="center"/>
                </w:tcPr>
                <w:p>
                  <w:pPr>
                    <w:widowControl/>
                    <w:jc w:val="center"/>
                    <w:rPr>
                      <w:rFonts w:hint="default" w:ascii="Times New Roman" w:hAnsi="Times New Roman" w:eastAsia="宋体" w:cs="Times New Roman"/>
                      <w:color w:val="FF0000"/>
                      <w:kern w:val="2"/>
                      <w:sz w:val="21"/>
                      <w:szCs w:val="21"/>
                      <w:lang w:val="en-US" w:eastAsia="zh-CN" w:bidi="ar-SA"/>
                    </w:rPr>
                  </w:pPr>
                  <w:r>
                    <w:rPr>
                      <w:rFonts w:hint="eastAsia" w:eastAsia="Calibri" w:cs="Times New Roman"/>
                      <w:color w:val="auto"/>
                      <w:szCs w:val="21"/>
                      <w:lang w:val="en-US" w:eastAsia="zh-CN"/>
                    </w:rPr>
                    <w:t>0.186</w:t>
                  </w:r>
                </w:p>
              </w:tc>
            </w:tr>
          </w:tbl>
          <w:p>
            <w:pPr>
              <w:widowControl/>
              <w:spacing w:before="120" w:beforeLines="50"/>
              <w:jc w:val="center"/>
              <w:rPr>
                <w:rFonts w:hint="default" w:ascii="Times New Roman" w:hAnsi="Times New Roman" w:cs="Times New Roman"/>
                <w:b/>
                <w:bCs/>
                <w:snapToGrid w:val="0"/>
                <w:color w:val="auto"/>
                <w:spacing w:val="4"/>
                <w:kern w:val="18"/>
                <w:szCs w:val="21"/>
              </w:rPr>
            </w:pPr>
            <w:r>
              <w:rPr>
                <w:rFonts w:hint="default" w:ascii="Times New Roman" w:hAnsi="Times New Roman" w:cs="Times New Roman"/>
                <w:b/>
                <w:bCs/>
                <w:snapToGrid w:val="0"/>
                <w:color w:val="auto"/>
                <w:spacing w:val="4"/>
                <w:kern w:val="18"/>
                <w:szCs w:val="21"/>
              </w:rPr>
              <w:t>表4-</w:t>
            </w:r>
            <w:r>
              <w:rPr>
                <w:rFonts w:hint="eastAsia" w:cs="Times New Roman"/>
                <w:b/>
                <w:bCs/>
                <w:snapToGrid w:val="0"/>
                <w:color w:val="auto"/>
                <w:spacing w:val="4"/>
                <w:kern w:val="18"/>
                <w:szCs w:val="21"/>
                <w:lang w:val="en-US" w:eastAsia="zh-CN"/>
              </w:rPr>
              <w:t>11</w:t>
            </w:r>
            <w:r>
              <w:rPr>
                <w:rFonts w:hint="default" w:ascii="Times New Roman" w:hAnsi="Times New Roman" w:cs="Times New Roman"/>
                <w:b/>
                <w:bCs/>
                <w:snapToGrid w:val="0"/>
                <w:color w:val="auto"/>
                <w:spacing w:val="4"/>
                <w:kern w:val="18"/>
                <w:szCs w:val="21"/>
              </w:rPr>
              <w:t xml:space="preserve">  本项目污染源非正常排放量核算表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996"/>
              <w:gridCol w:w="915"/>
              <w:gridCol w:w="1201"/>
              <w:gridCol w:w="1124"/>
              <w:gridCol w:w="990"/>
              <w:gridCol w:w="705"/>
              <w:gridCol w:w="15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污染源</w:t>
                  </w:r>
                </w:p>
              </w:tc>
              <w:tc>
                <w:tcPr>
                  <w:tcW w:w="599"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非正常排放</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原因</w:t>
                  </w:r>
                </w:p>
              </w:tc>
              <w:tc>
                <w:tcPr>
                  <w:tcW w:w="550" w:type="pct"/>
                  <w:tcBorders>
                    <w:bottom w:val="single" w:color="auto" w:sz="4"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污染物</w:t>
                  </w:r>
                </w:p>
              </w:tc>
              <w:tc>
                <w:tcPr>
                  <w:tcW w:w="722" w:type="pct"/>
                  <w:tcBorders>
                    <w:bottom w:val="single" w:color="auto" w:sz="4"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非正常</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排放浓度/(mg/m</w:t>
                  </w:r>
                  <w:r>
                    <w:rPr>
                      <w:rFonts w:hint="default" w:ascii="Times New Roman" w:hAnsi="Times New Roman" w:cs="Times New Roman"/>
                      <w:b/>
                      <w:snapToGrid w:val="0"/>
                      <w:color w:val="auto"/>
                      <w:spacing w:val="4"/>
                      <w:kern w:val="18"/>
                      <w:szCs w:val="21"/>
                      <w:vertAlign w:val="superscript"/>
                    </w:rPr>
                    <w:t>3</w:t>
                  </w:r>
                  <w:r>
                    <w:rPr>
                      <w:rFonts w:hint="default" w:ascii="Times New Roman" w:hAnsi="Times New Roman" w:cs="Times New Roman"/>
                      <w:b/>
                      <w:snapToGrid w:val="0"/>
                      <w:color w:val="auto"/>
                      <w:spacing w:val="4"/>
                      <w:kern w:val="18"/>
                      <w:szCs w:val="21"/>
                    </w:rPr>
                    <w:t>)</w:t>
                  </w:r>
                </w:p>
              </w:tc>
              <w:tc>
                <w:tcPr>
                  <w:tcW w:w="676" w:type="pct"/>
                  <w:tcBorders>
                    <w:bottom w:val="single" w:color="auto" w:sz="4"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非正常</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排放速率/(kg/h)</w:t>
                  </w:r>
                </w:p>
              </w:tc>
              <w:tc>
                <w:tcPr>
                  <w:tcW w:w="595"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单次持续时间/h</w:t>
                  </w:r>
                </w:p>
              </w:tc>
              <w:tc>
                <w:tcPr>
                  <w:tcW w:w="424"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年发生频次/次</w:t>
                  </w:r>
                </w:p>
              </w:tc>
              <w:tc>
                <w:tcPr>
                  <w:tcW w:w="904" w:type="pct"/>
                  <w:tcBorders>
                    <w:bottom w:val="single" w:color="auto" w:sz="12" w:space="0"/>
                  </w:tcBorders>
                  <w:noWrap w:val="0"/>
                  <w:vAlign w:val="center"/>
                </w:tcPr>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应对</w:t>
                  </w:r>
                </w:p>
                <w:p>
                  <w:pPr>
                    <w:widowControl/>
                    <w:jc w:val="center"/>
                    <w:rPr>
                      <w:rFonts w:hint="default" w:ascii="Times New Roman" w:hAnsi="Times New Roman" w:cs="Times New Roman"/>
                      <w:b/>
                      <w:snapToGrid w:val="0"/>
                      <w:color w:val="auto"/>
                      <w:spacing w:val="4"/>
                      <w:kern w:val="18"/>
                      <w:szCs w:val="21"/>
                    </w:rPr>
                  </w:pPr>
                  <w:r>
                    <w:rPr>
                      <w:rFonts w:hint="default" w:ascii="Times New Roman" w:hAnsi="Times New Roman" w:cs="Times New Roman"/>
                      <w:b/>
                      <w:snapToGrid w:val="0"/>
                      <w:color w:val="auto"/>
                      <w:spacing w:val="4"/>
                      <w:kern w:val="18"/>
                      <w:szCs w:val="21"/>
                    </w:rPr>
                    <w:t>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26" w:type="pct"/>
                  <w:tcBorders>
                    <w:top w:val="single" w:color="auto" w:sz="4" w:space="0"/>
                  </w:tcBorders>
                  <w:noWrap w:val="0"/>
                  <w:vAlign w:val="center"/>
                </w:tcPr>
                <w:p>
                  <w:pPr>
                    <w:widowControl/>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DA001</w:t>
                  </w:r>
                </w:p>
              </w:tc>
              <w:tc>
                <w:tcPr>
                  <w:tcW w:w="599"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废气处理设备故障</w:t>
                  </w:r>
                </w:p>
              </w:tc>
              <w:tc>
                <w:tcPr>
                  <w:tcW w:w="550" w:type="pct"/>
                  <w:tcBorders>
                    <w:top w:val="single" w:color="auto" w:sz="4" w:space="0"/>
                    <w:bottom w:val="single" w:color="auto" w:sz="12" w:space="0"/>
                  </w:tcBorders>
                  <w:noWrap w:val="0"/>
                  <w:vAlign w:val="center"/>
                </w:tcPr>
                <w:p>
                  <w:pPr>
                    <w:jc w:val="center"/>
                    <w:rPr>
                      <w:rFonts w:hint="default" w:ascii="Times New Roman" w:hAnsi="Times New Roman" w:cs="Times New Roman"/>
                      <w:bCs/>
                      <w:color w:val="auto"/>
                      <w:szCs w:val="21"/>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722"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104</w:t>
                  </w:r>
                </w:p>
              </w:tc>
              <w:tc>
                <w:tcPr>
                  <w:tcW w:w="676"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0.52</w:t>
                  </w:r>
                </w:p>
              </w:tc>
              <w:tc>
                <w:tcPr>
                  <w:tcW w:w="595"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1</w:t>
                  </w:r>
                </w:p>
              </w:tc>
              <w:tc>
                <w:tcPr>
                  <w:tcW w:w="424"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1</w:t>
                  </w:r>
                </w:p>
              </w:tc>
              <w:tc>
                <w:tcPr>
                  <w:tcW w:w="904" w:type="pct"/>
                  <w:noWrap w:val="0"/>
                  <w:vAlign w:val="center"/>
                </w:tcPr>
                <w:p>
                  <w:pPr>
                    <w:widowControl/>
                    <w:jc w:val="center"/>
                    <w:rPr>
                      <w:rFonts w:hint="default" w:ascii="Times New Roman" w:hAnsi="Times New Roman" w:cs="Times New Roman"/>
                      <w:bCs/>
                      <w:snapToGrid w:val="0"/>
                      <w:color w:val="auto"/>
                      <w:spacing w:val="4"/>
                      <w:kern w:val="18"/>
                      <w:szCs w:val="21"/>
                    </w:rPr>
                  </w:pPr>
                  <w:r>
                    <w:rPr>
                      <w:rFonts w:hint="default" w:ascii="Times New Roman" w:hAnsi="Times New Roman" w:cs="Times New Roman"/>
                      <w:bCs/>
                      <w:snapToGrid w:val="0"/>
                      <w:color w:val="auto"/>
                      <w:spacing w:val="4"/>
                      <w:kern w:val="18"/>
                      <w:szCs w:val="21"/>
                    </w:rPr>
                    <w:t>加强设备维修管理，杜绝事故运营，完善环保制度等</w:t>
                  </w:r>
                </w:p>
              </w:tc>
            </w:tr>
          </w:tbl>
          <w:p>
            <w:pPr>
              <w:widowControl/>
              <w:spacing w:before="120" w:beforeLines="50"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综上所述，只要企业严格执行本环评提出的环保措施，本项目产生的废气经治理后均能达标排放。</w:t>
            </w:r>
          </w:p>
          <w:p>
            <w:pPr>
              <w:pStyle w:val="79"/>
              <w:numPr>
                <w:ilvl w:val="0"/>
                <w:numId w:val="0"/>
              </w:numPr>
              <w:spacing w:line="360" w:lineRule="auto"/>
              <w:ind w:firstLine="480" w:firstLineChars="200"/>
              <w:rPr>
                <w:rFonts w:hint="default" w:ascii="Times New Roman" w:hAnsi="Times New Roman" w:cs="Times New Roman"/>
                <w:b/>
                <w:bCs/>
                <w:color w:val="auto"/>
                <w:sz w:val="24"/>
                <w:szCs w:val="24"/>
                <w:lang w:val="en-US" w:eastAsia="zh-CN" w:bidi="zh-CN"/>
              </w:rPr>
            </w:pPr>
            <w:bookmarkStart w:id="24" w:name="_Toc28784"/>
            <w:r>
              <w:rPr>
                <w:rFonts w:hint="eastAsia" w:cs="Times New Roman"/>
                <w:b w:val="0"/>
                <w:bCs w:val="0"/>
                <w:color w:val="auto"/>
                <w:sz w:val="24"/>
                <w:szCs w:val="24"/>
                <w:lang w:val="en-US" w:eastAsia="zh-CN" w:bidi="zh-CN"/>
              </w:rPr>
              <w:t>（5）</w:t>
            </w:r>
            <w:r>
              <w:rPr>
                <w:rFonts w:hint="default" w:ascii="Times New Roman" w:hAnsi="Times New Roman" w:cs="Times New Roman"/>
                <w:b w:val="0"/>
                <w:bCs w:val="0"/>
                <w:color w:val="auto"/>
                <w:sz w:val="24"/>
                <w:szCs w:val="24"/>
                <w:lang w:val="en-US" w:eastAsia="zh-CN" w:bidi="zh-CN"/>
              </w:rPr>
              <w:t>措施可行性分析</w:t>
            </w:r>
            <w:bookmarkEnd w:id="24"/>
          </w:p>
          <w:p>
            <w:pPr>
              <w:pStyle w:val="79"/>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default" w:ascii="Times New Roman" w:hAnsi="Times New Roman" w:eastAsia="宋体" w:cs="Times New Roman"/>
                <w:b w:val="0"/>
                <w:bCs w:val="0"/>
                <w:color w:val="000000"/>
                <w:kern w:val="2"/>
                <w:sz w:val="24"/>
                <w:szCs w:val="24"/>
                <w:lang w:val="en-US" w:eastAsia="zh-CN" w:bidi="ar-SA"/>
              </w:rPr>
            </w:pPr>
            <w:bookmarkStart w:id="25" w:name="_Toc21287"/>
            <w:r>
              <w:rPr>
                <w:rFonts w:hint="eastAsia" w:ascii="Times New Roman" w:hAnsi="Times New Roman" w:eastAsia="宋体" w:cs="Times New Roman"/>
                <w:b w:val="0"/>
                <w:bCs w:val="0"/>
                <w:color w:val="000000"/>
                <w:kern w:val="2"/>
                <w:sz w:val="24"/>
                <w:szCs w:val="24"/>
                <w:lang w:val="en-US" w:eastAsia="zh-CN" w:bidi="ar-SA"/>
              </w:rPr>
              <w:t>活性炭是一种具有多孔结构和大的内部比表面积的材料，由于活性炭表面与有机废气分子间相互引力的作用产生物理吸附（又称范德华吸附），其特点是：①吸附质（有机废气）和吸附剂（活性炭）相互不发生反应；②过程进行较快；③吸附剂本身性质在吸附过程中不变化；④吸附过程可逆，从而将废气中的有机成份吸附在活性炭的表面积，从而使废气得到净化，净化后的气体通过风机及排气筒达标排放。</w:t>
            </w:r>
            <w:bookmarkEnd w:id="25"/>
          </w:p>
          <w:p>
            <w:pPr>
              <w:pStyle w:val="79"/>
              <w:keepNext/>
              <w:keepLines/>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Times New Roman" w:hAnsi="Times New Roman" w:eastAsia="宋体" w:cs="Times New Roman"/>
                <w:b w:val="0"/>
                <w:bCs w:val="0"/>
                <w:color w:val="000000"/>
                <w:kern w:val="2"/>
                <w:sz w:val="24"/>
                <w:szCs w:val="24"/>
                <w:lang w:val="en-US" w:eastAsia="zh-CN" w:bidi="ar-SA"/>
              </w:rPr>
            </w:pPr>
            <w:bookmarkStart w:id="26" w:name="_Toc27496"/>
            <w:r>
              <w:rPr>
                <w:rFonts w:hint="default" w:ascii="Times New Roman" w:hAnsi="Times New Roman" w:eastAsia="宋体" w:cs="Times New Roman"/>
                <w:b w:val="0"/>
                <w:bCs w:val="0"/>
                <w:color w:val="000000"/>
                <w:kern w:val="2"/>
                <w:sz w:val="24"/>
                <w:szCs w:val="24"/>
                <w:lang w:val="en-US" w:eastAsia="zh-CN" w:bidi="ar-SA"/>
              </w:rPr>
              <w:t>根据《排污许可证申请与核发技术规范 总则》（HJ942-2018）中的有机废气治理设施工艺包括焚烧、吸附、催化分解、其他，二级活性炭吸附装置属于有机废气中的吸附法，为可行技术。本项目活性炭吸附装置主要用于处理生产过程中产生的有机废气，采用二级活性炭吸附装置</w:t>
            </w:r>
            <w:r>
              <w:rPr>
                <w:rFonts w:hint="eastAsia" w:ascii="Times New Roman" w:hAnsi="Times New Roman" w:eastAsia="宋体" w:cs="Times New Roman"/>
                <w:b w:val="0"/>
                <w:bCs w:val="0"/>
                <w:color w:val="000000"/>
                <w:kern w:val="2"/>
                <w:sz w:val="24"/>
                <w:szCs w:val="24"/>
                <w:lang w:val="en-US" w:eastAsia="zh-CN" w:bidi="ar-SA"/>
              </w:rPr>
              <w:t>，</w:t>
            </w:r>
            <w:r>
              <w:rPr>
                <w:rFonts w:hint="default" w:ascii="Times New Roman" w:hAnsi="Times New Roman" w:eastAsia="宋体" w:cs="Times New Roman"/>
                <w:b w:val="0"/>
                <w:bCs w:val="0"/>
                <w:color w:val="000000"/>
                <w:kern w:val="2"/>
                <w:sz w:val="24"/>
                <w:szCs w:val="24"/>
                <w:lang w:val="en-US" w:eastAsia="zh-CN" w:bidi="ar-SA"/>
              </w:rPr>
              <w:t>吸附法治理效率在50%-90%之间，本项目</w:t>
            </w:r>
            <w:r>
              <w:rPr>
                <w:rFonts w:hint="eastAsia" w:cs="Times New Roman"/>
                <w:b w:val="0"/>
                <w:bCs w:val="0"/>
                <w:color w:val="000000"/>
                <w:kern w:val="2"/>
                <w:sz w:val="24"/>
                <w:szCs w:val="24"/>
                <w:lang w:val="en-US" w:eastAsia="zh-CN" w:bidi="ar-SA"/>
              </w:rPr>
              <w:t>使用二级活性炭，</w:t>
            </w:r>
            <w:r>
              <w:rPr>
                <w:rFonts w:hint="default" w:ascii="Times New Roman" w:hAnsi="Times New Roman" w:eastAsia="宋体" w:cs="Times New Roman"/>
                <w:b w:val="0"/>
                <w:bCs w:val="0"/>
                <w:color w:val="000000"/>
                <w:kern w:val="2"/>
                <w:sz w:val="24"/>
                <w:szCs w:val="24"/>
                <w:lang w:val="en-US" w:eastAsia="zh-CN" w:bidi="ar-SA"/>
              </w:rPr>
              <w:t>去除率按</w:t>
            </w:r>
            <w:r>
              <w:rPr>
                <w:rFonts w:hint="eastAsia" w:cs="Times New Roman"/>
                <w:b w:val="0"/>
                <w:bCs w:val="0"/>
                <w:color w:val="000000"/>
                <w:kern w:val="2"/>
                <w:sz w:val="24"/>
                <w:szCs w:val="24"/>
                <w:lang w:val="en-US" w:eastAsia="zh-CN" w:bidi="ar-SA"/>
              </w:rPr>
              <w:t>8</w:t>
            </w:r>
            <w:r>
              <w:rPr>
                <w:rFonts w:hint="default" w:ascii="Times New Roman" w:hAnsi="Times New Roman" w:eastAsia="宋体" w:cs="Times New Roman"/>
                <w:b w:val="0"/>
                <w:bCs w:val="0"/>
                <w:color w:val="000000"/>
                <w:kern w:val="2"/>
                <w:sz w:val="24"/>
                <w:szCs w:val="24"/>
                <w:lang w:val="en-US" w:eastAsia="zh-CN" w:bidi="ar-SA"/>
              </w:rPr>
              <w:t>0%计。</w:t>
            </w:r>
            <w:bookmarkEnd w:id="26"/>
          </w:p>
          <w:p>
            <w:pPr>
              <w:pStyle w:val="79"/>
              <w:numPr>
                <w:ilvl w:val="0"/>
                <w:numId w:val="0"/>
              </w:numPr>
              <w:spacing w:line="360" w:lineRule="auto"/>
              <w:ind w:firstLine="480" w:firstLineChars="200"/>
              <w:rPr>
                <w:rFonts w:hint="default" w:ascii="Times New Roman" w:hAnsi="Times New Roman" w:eastAsia="宋体" w:cs="Times New Roman"/>
                <w:b w:val="0"/>
                <w:bCs w:val="0"/>
                <w:color w:val="000000"/>
                <w:kern w:val="2"/>
                <w:sz w:val="24"/>
                <w:szCs w:val="24"/>
                <w:lang w:val="en-US" w:eastAsia="zh-CN" w:bidi="ar-SA"/>
              </w:rPr>
            </w:pPr>
            <w:bookmarkStart w:id="27" w:name="_Toc32421"/>
            <w:r>
              <w:rPr>
                <w:rFonts w:hint="default" w:ascii="Times New Roman" w:hAnsi="Times New Roman" w:eastAsia="宋体" w:cs="Times New Roman"/>
                <w:b w:val="0"/>
                <w:bCs w:val="0"/>
                <w:color w:val="000000"/>
                <w:kern w:val="2"/>
                <w:sz w:val="24"/>
                <w:szCs w:val="24"/>
                <w:lang w:val="en-US" w:eastAsia="zh-CN" w:bidi="ar-SA"/>
              </w:rPr>
              <w:t>综上，本项目废气处理措施可行。</w:t>
            </w:r>
            <w:bookmarkEnd w:id="27"/>
          </w:p>
          <w:p>
            <w:pPr>
              <w:pStyle w:val="79"/>
              <w:spacing w:line="360" w:lineRule="auto"/>
              <w:ind w:firstLine="480" w:firstLineChars="200"/>
              <w:rPr>
                <w:rFonts w:hint="default" w:ascii="Times New Roman" w:hAnsi="Times New Roman" w:eastAsia="宋体" w:cs="Times New Roman"/>
                <w:b w:val="0"/>
                <w:bCs/>
                <w:sz w:val="24"/>
                <w:szCs w:val="24"/>
                <w:lang w:val="en-US" w:eastAsia="zh-CN"/>
              </w:rPr>
            </w:pPr>
            <w:bookmarkStart w:id="28" w:name="_Toc6497"/>
            <w:r>
              <w:rPr>
                <w:rFonts w:hint="eastAsia" w:cs="Times New Roman"/>
                <w:b w:val="0"/>
                <w:bCs/>
                <w:sz w:val="24"/>
                <w:szCs w:val="24"/>
                <w:lang w:val="en-US" w:eastAsia="zh-CN"/>
              </w:rPr>
              <w:t>（6）</w:t>
            </w:r>
            <w:r>
              <w:rPr>
                <w:rFonts w:hint="default" w:ascii="Times New Roman" w:hAnsi="Times New Roman" w:eastAsia="宋体" w:cs="Times New Roman"/>
                <w:b w:val="0"/>
                <w:bCs/>
                <w:sz w:val="24"/>
                <w:szCs w:val="24"/>
                <w:lang w:val="en-US" w:eastAsia="zh-CN"/>
              </w:rPr>
              <w:t>大气</w:t>
            </w:r>
            <w:r>
              <w:rPr>
                <w:rFonts w:hint="eastAsia" w:ascii="Times New Roman" w:hAnsi="Times New Roman" w:eastAsia="宋体" w:cs="Times New Roman"/>
                <w:b w:val="0"/>
                <w:bCs/>
                <w:sz w:val="24"/>
                <w:szCs w:val="24"/>
                <w:lang w:val="en-US" w:eastAsia="zh-CN"/>
              </w:rPr>
              <w:t>环境</w:t>
            </w:r>
            <w:r>
              <w:rPr>
                <w:rFonts w:hint="default" w:ascii="Times New Roman" w:hAnsi="Times New Roman" w:eastAsia="宋体" w:cs="Times New Roman"/>
                <w:b w:val="0"/>
                <w:bCs/>
                <w:sz w:val="24"/>
                <w:szCs w:val="24"/>
                <w:lang w:val="en-US" w:eastAsia="zh-CN"/>
              </w:rPr>
              <w:t>监测计划</w:t>
            </w:r>
            <w:bookmarkEnd w:id="28"/>
          </w:p>
          <w:p>
            <w:pPr>
              <w:pStyle w:val="79"/>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Times New Roman" w:hAnsi="Times New Roman" w:eastAsia="宋体" w:cs="Times New Roman"/>
                <w:b w:val="0"/>
                <w:bCs w:val="0"/>
                <w:color w:val="FF0000"/>
                <w:sz w:val="24"/>
                <w:szCs w:val="24"/>
                <w:lang w:val="en-US" w:eastAsia="zh-CN"/>
              </w:rPr>
            </w:pPr>
            <w:bookmarkStart w:id="29" w:name="_Toc21128"/>
            <w:r>
              <w:rPr>
                <w:rFonts w:hint="eastAsia" w:ascii="Times New Roman" w:hAnsi="Times New Roman" w:eastAsia="宋体" w:cs="Times New Roman"/>
                <w:b w:val="0"/>
                <w:bCs w:val="0"/>
                <w:color w:val="auto"/>
                <w:sz w:val="24"/>
                <w:szCs w:val="24"/>
                <w:lang w:eastAsia="zh-CN"/>
              </w:rPr>
              <w:t>根据《排位单位自行监测技术指南  总则》（HJ819-2017）</w:t>
            </w:r>
            <w:r>
              <w:rPr>
                <w:rFonts w:hint="default" w:ascii="Times New Roman" w:hAnsi="Times New Roman" w:eastAsia="宋体" w:cs="Times New Roman"/>
                <w:b w:val="0"/>
                <w:bCs w:val="0"/>
                <w:color w:val="auto"/>
                <w:sz w:val="24"/>
                <w:szCs w:val="24"/>
              </w:rPr>
              <w:t>的规范要求</w:t>
            </w:r>
            <w:r>
              <w:rPr>
                <w:rFonts w:hint="eastAsia" w:ascii="Times New Roman" w:hAnsi="Times New Roman" w:eastAsia="宋体" w:cs="Times New Roman"/>
                <w:b w:val="0"/>
                <w:bCs w:val="0"/>
                <w:color w:val="auto"/>
                <w:sz w:val="24"/>
                <w:szCs w:val="24"/>
                <w:lang w:eastAsia="zh-CN"/>
              </w:rPr>
              <w:t>，项目大气污染源监测方案见下表。</w:t>
            </w:r>
            <w:bookmarkEnd w:id="29"/>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color w:val="auto"/>
                <w:kern w:val="0"/>
                <w:sz w:val="21"/>
                <w:szCs w:val="21"/>
              </w:rPr>
            </w:pPr>
            <w:r>
              <w:rPr>
                <w:b/>
                <w:color w:val="auto"/>
                <w:kern w:val="0"/>
                <w:sz w:val="21"/>
                <w:szCs w:val="21"/>
              </w:rPr>
              <w:t>表</w:t>
            </w:r>
            <w:r>
              <w:rPr>
                <w:rFonts w:hint="eastAsia"/>
                <w:b/>
                <w:color w:val="auto"/>
                <w:kern w:val="0"/>
                <w:sz w:val="21"/>
                <w:szCs w:val="21"/>
                <w:lang w:val="en-US" w:eastAsia="zh-CN"/>
              </w:rPr>
              <w:t xml:space="preserve">4-12 </w:t>
            </w:r>
            <w:r>
              <w:rPr>
                <w:rFonts w:hint="eastAsia"/>
                <w:b/>
                <w:color w:val="auto"/>
                <w:kern w:val="0"/>
                <w:sz w:val="21"/>
                <w:szCs w:val="21"/>
                <w:lang w:eastAsia="zh-CN"/>
              </w:rPr>
              <w:t>环境</w:t>
            </w:r>
            <w:r>
              <w:rPr>
                <w:b/>
                <w:color w:val="auto"/>
                <w:kern w:val="0"/>
                <w:sz w:val="21"/>
                <w:szCs w:val="21"/>
              </w:rPr>
              <w:t>监测计划表</w:t>
            </w:r>
          </w:p>
          <w:tbl>
            <w:tblPr>
              <w:tblStyle w:val="27"/>
              <w:tblW w:w="4998" w:type="pct"/>
              <w:jc w:val="center"/>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Layout w:type="autofit"/>
              <w:tblCellMar>
                <w:top w:w="15" w:type="dxa"/>
                <w:left w:w="15" w:type="dxa"/>
                <w:bottom w:w="15" w:type="dxa"/>
                <w:right w:w="15" w:type="dxa"/>
              </w:tblCellMar>
            </w:tblPr>
            <w:tblGrid>
              <w:gridCol w:w="557"/>
              <w:gridCol w:w="806"/>
              <w:gridCol w:w="1016"/>
              <w:gridCol w:w="878"/>
              <w:gridCol w:w="1169"/>
              <w:gridCol w:w="3883"/>
            </w:tblGrid>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218" w:hRule="atLeast"/>
                <w:jc w:val="center"/>
              </w:trPr>
              <w:tc>
                <w:tcPr>
                  <w:tcW w:w="820" w:type="pct"/>
                  <w:gridSpan w:val="2"/>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污染源</w:t>
                  </w:r>
                </w:p>
              </w:tc>
              <w:tc>
                <w:tcPr>
                  <w:tcW w:w="611"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监测点位</w:t>
                  </w:r>
                </w:p>
              </w:tc>
              <w:tc>
                <w:tcPr>
                  <w:tcW w:w="528"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监测指标</w:t>
                  </w:r>
                </w:p>
              </w:tc>
              <w:tc>
                <w:tcPr>
                  <w:tcW w:w="703"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监测频次</w:t>
                  </w:r>
                </w:p>
              </w:tc>
              <w:tc>
                <w:tcPr>
                  <w:tcW w:w="2336" w:type="pct"/>
                  <w:tcBorders>
                    <w:bottom w:val="single" w:color="000000" w:sz="12" w:space="0"/>
                  </w:tcBorders>
                  <w:noWrap w:val="0"/>
                  <w:vAlign w:val="center"/>
                </w:tcPr>
                <w:p>
                  <w:pPr>
                    <w:widowControl/>
                    <w:jc w:val="center"/>
                    <w:textAlignment w:val="center"/>
                    <w:rPr>
                      <w:rFonts w:hint="default" w:ascii="Times New Roman" w:hAnsi="Times New Roman" w:cs="Times New Roman"/>
                      <w:b/>
                      <w:color w:val="auto"/>
                      <w:szCs w:val="21"/>
                    </w:rPr>
                  </w:pPr>
                  <w:r>
                    <w:rPr>
                      <w:rFonts w:hint="default" w:ascii="Times New Roman" w:hAnsi="Times New Roman" w:cs="Times New Roman"/>
                      <w:b/>
                      <w:color w:val="auto"/>
                      <w:kern w:val="0"/>
                      <w:szCs w:val="21"/>
                      <w:lang w:bidi="ar"/>
                    </w:rPr>
                    <w:t>执行排放标准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707" w:hRule="atLeast"/>
                <w:jc w:val="center"/>
              </w:trPr>
              <w:tc>
                <w:tcPr>
                  <w:tcW w:w="335" w:type="pct"/>
                  <w:vMerge w:val="restar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废气</w:t>
                  </w:r>
                </w:p>
              </w:tc>
              <w:tc>
                <w:tcPr>
                  <w:tcW w:w="485"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有组织</w:t>
                  </w:r>
                </w:p>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排放</w:t>
                  </w:r>
                </w:p>
              </w:tc>
              <w:tc>
                <w:tcPr>
                  <w:tcW w:w="61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DA00</w:t>
                  </w:r>
                  <w:r>
                    <w:rPr>
                      <w:rFonts w:hint="default" w:ascii="Times New Roman" w:hAnsi="Times New Roman" w:cs="Times New Roman"/>
                      <w:color w:val="auto"/>
                      <w:kern w:val="0"/>
                      <w:szCs w:val="21"/>
                      <w:lang w:val="en-US" w:eastAsia="zh-CN" w:bidi="ar"/>
                    </w:rPr>
                    <w:t>1</w:t>
                  </w:r>
                </w:p>
              </w:tc>
              <w:tc>
                <w:tcPr>
                  <w:tcW w:w="528" w:type="pct"/>
                  <w:noWrap w:val="0"/>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lang w:val="en-US" w:eastAsia="zh-CN"/>
                    </w:rPr>
                    <w:t>VOC</w:t>
                  </w:r>
                  <w:r>
                    <w:rPr>
                      <w:rFonts w:hint="eastAsia" w:ascii="Times New Roman" w:hAnsi="Times New Roman" w:cs="Times New Roman"/>
                      <w:color w:val="auto"/>
                      <w:szCs w:val="21"/>
                      <w:vertAlign w:val="subscript"/>
                      <w:lang w:val="en-US" w:eastAsia="zh-CN"/>
                    </w:rPr>
                    <w:t>S</w:t>
                  </w:r>
                </w:p>
              </w:tc>
              <w:tc>
                <w:tcPr>
                  <w:tcW w:w="703" w:type="pct"/>
                  <w:noWrap w:val="0"/>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0"/>
                      <w:szCs w:val="21"/>
                      <w:lang w:bidi="ar"/>
                    </w:rPr>
                    <w:t>1次/</w:t>
                  </w:r>
                  <w:r>
                    <w:rPr>
                      <w:rFonts w:hint="eastAsia" w:cs="Times New Roman"/>
                      <w:color w:val="auto"/>
                      <w:kern w:val="0"/>
                      <w:szCs w:val="21"/>
                      <w:lang w:val="en-US" w:eastAsia="zh-CN" w:bidi="ar"/>
                    </w:rPr>
                    <w:t>年</w:t>
                  </w:r>
                </w:p>
              </w:tc>
              <w:tc>
                <w:tcPr>
                  <w:tcW w:w="2336" w:type="pct"/>
                  <w:noWrap w:val="0"/>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《工业企业挥发性有机物排放控制标准》（DB12/524-2020）</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662" w:hRule="atLeast"/>
                <w:jc w:val="center"/>
              </w:trPr>
              <w:tc>
                <w:tcPr>
                  <w:tcW w:w="335" w:type="pct"/>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485" w:type="pct"/>
                  <w:vMerge w:val="restar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无组织</w:t>
                  </w:r>
                </w:p>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排放</w:t>
                  </w:r>
                </w:p>
              </w:tc>
              <w:tc>
                <w:tcPr>
                  <w:tcW w:w="611"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厂界边界无组织排放监控点</w:t>
                  </w:r>
                </w:p>
              </w:tc>
              <w:tc>
                <w:tcPr>
                  <w:tcW w:w="528"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TVOC</w:t>
                  </w:r>
                </w:p>
              </w:tc>
              <w:tc>
                <w:tcPr>
                  <w:tcW w:w="703"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1次/</w:t>
                  </w:r>
                  <w:r>
                    <w:rPr>
                      <w:rFonts w:hint="eastAsia" w:cs="Times New Roman"/>
                      <w:color w:val="auto"/>
                      <w:kern w:val="0"/>
                      <w:szCs w:val="21"/>
                      <w:lang w:val="en-US" w:eastAsia="zh-CN" w:bidi="ar"/>
                    </w:rPr>
                    <w:t>年</w:t>
                  </w:r>
                </w:p>
              </w:tc>
              <w:tc>
                <w:tcPr>
                  <w:tcW w:w="2336"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2"/>
                      <w:sz w:val="21"/>
                      <w:szCs w:val="21"/>
                      <w:lang w:val="en-US" w:eastAsia="zh-CN" w:bidi="ar-SA"/>
                    </w:rPr>
                    <w:t>《工业企业挥发性有机物排放控制标准》（DB12/524-2020）</w:t>
                  </w:r>
                  <w:r>
                    <w:rPr>
                      <w:rFonts w:hint="default" w:ascii="Times New Roman" w:hAnsi="Times New Roman" w:cs="Times New Roman"/>
                      <w:color w:val="auto"/>
                      <w:szCs w:val="21"/>
                    </w:rPr>
                    <w:t>中无组织排放浓度限值</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90" w:hRule="atLeast"/>
                <w:jc w:val="center"/>
              </w:trPr>
              <w:tc>
                <w:tcPr>
                  <w:tcW w:w="335" w:type="pct"/>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485" w:type="pct"/>
                  <w:vMerge w:val="continue"/>
                  <w:noWrap w:val="0"/>
                  <w:vAlign w:val="center"/>
                </w:tcPr>
                <w:p>
                  <w:pPr>
                    <w:widowControl/>
                    <w:jc w:val="center"/>
                    <w:textAlignment w:val="center"/>
                    <w:rPr>
                      <w:rFonts w:hint="default" w:ascii="Times New Roman" w:hAnsi="Times New Roman" w:cs="Times New Roman"/>
                      <w:color w:val="auto"/>
                      <w:kern w:val="0"/>
                      <w:szCs w:val="21"/>
                      <w:lang w:bidi="ar"/>
                    </w:rPr>
                  </w:pPr>
                </w:p>
              </w:tc>
              <w:tc>
                <w:tcPr>
                  <w:tcW w:w="611"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厂房外无组织排放监控点</w:t>
                  </w:r>
                </w:p>
              </w:tc>
              <w:tc>
                <w:tcPr>
                  <w:tcW w:w="528"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TVOC</w:t>
                  </w:r>
                </w:p>
              </w:tc>
              <w:tc>
                <w:tcPr>
                  <w:tcW w:w="703" w:type="pct"/>
                  <w:noWrap w:val="0"/>
                  <w:vAlign w:val="center"/>
                </w:tcPr>
                <w:p>
                  <w:pPr>
                    <w:widowControl/>
                    <w:jc w:val="center"/>
                    <w:textAlignment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1次/</w:t>
                  </w:r>
                  <w:r>
                    <w:rPr>
                      <w:rFonts w:hint="eastAsia" w:cs="Times New Roman"/>
                      <w:color w:val="auto"/>
                      <w:kern w:val="0"/>
                      <w:szCs w:val="21"/>
                      <w:lang w:val="en-US" w:eastAsia="zh-CN" w:bidi="ar"/>
                    </w:rPr>
                    <w:t>年</w:t>
                  </w:r>
                </w:p>
              </w:tc>
              <w:tc>
                <w:tcPr>
                  <w:tcW w:w="2336" w:type="pct"/>
                  <w:noWrap w:val="0"/>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szCs w:val="21"/>
                    </w:rPr>
                    <w:t>《挥发性有机物无组织排放控制标准》（GB37822-2019）表A.1中监控点处任意一次浓度排放限值</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ascii="Times New Roman" w:hAnsi="Times New Roman"/>
                <w:sz w:val="24"/>
              </w:rPr>
            </w:pPr>
            <w:r>
              <w:rPr>
                <w:bCs/>
                <w:color w:val="auto"/>
                <w:kern w:val="0"/>
                <w:sz w:val="24"/>
              </w:rPr>
              <w:t>每次监测都应有完整的记录</w:t>
            </w:r>
            <w:r>
              <w:rPr>
                <w:rFonts w:hint="eastAsia"/>
                <w:bCs/>
                <w:color w:val="auto"/>
                <w:kern w:val="0"/>
                <w:sz w:val="24"/>
                <w:lang w:eastAsia="zh-CN"/>
              </w:rPr>
              <w:t>，</w:t>
            </w:r>
            <w:r>
              <w:rPr>
                <w:bCs/>
                <w:color w:val="auto"/>
                <w:kern w:val="0"/>
                <w:sz w:val="24"/>
              </w:rPr>
              <w:t>监测数据应及时整理、统计，按时向管理部门、调度部门报告，做好监测资料的归档工作。</w:t>
            </w:r>
          </w:p>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pStyle w:val="24"/>
        <w:jc w:val="center"/>
        <w:outlineLvl w:val="9"/>
        <w:rPr>
          <w:rFonts w:hint="eastAsia" w:ascii="黑体" w:hAnsi="黑体" w:eastAsia="黑体"/>
          <w:snapToGrid w:val="0"/>
          <w:sz w:val="30"/>
          <w:szCs w:val="30"/>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28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0" w:hRule="atLeast"/>
          <w:jc w:val="center"/>
        </w:trPr>
        <w:tc>
          <w:tcPr>
            <w:tcW w:w="252" w:type="pct"/>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4747"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eastAsia" w:ascii="Times New Roman" w:hAnsi="Times New Roman" w:eastAsia="宋体" w:cs="Times New Roman"/>
                <w:bCs/>
                <w:color w:val="auto"/>
                <w:kern w:val="0"/>
                <w:sz w:val="24"/>
                <w:lang w:val="en-US" w:eastAsia="zh-CN"/>
              </w:rPr>
            </w:pPr>
            <w:r>
              <w:rPr>
                <w:rFonts w:hint="eastAsia" w:ascii="Times New Roman" w:hAnsi="Times New Roman" w:eastAsia="宋体" w:cs="Times New Roman"/>
                <w:bCs/>
                <w:color w:val="auto"/>
                <w:kern w:val="0"/>
                <w:sz w:val="24"/>
                <w:lang w:val="en-US" w:eastAsia="zh-CN"/>
              </w:rPr>
              <w:t>3、声环境</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both"/>
              <w:textAlignment w:val="auto"/>
              <w:rPr>
                <w:rFonts w:hint="default" w:ascii="Times New Roman" w:hAnsi="Times New Roman" w:eastAsia="宋体" w:cs="Times New Roman"/>
                <w:bCs/>
                <w:color w:val="auto"/>
                <w:kern w:val="0"/>
                <w:sz w:val="24"/>
              </w:rPr>
            </w:pPr>
            <w:r>
              <w:rPr>
                <w:rFonts w:hint="default" w:ascii="Times New Roman" w:hAnsi="Times New Roman" w:eastAsia="宋体" w:cs="Times New Roman"/>
                <w:bCs/>
                <w:color w:val="auto"/>
                <w:kern w:val="0"/>
                <w:sz w:val="24"/>
                <w:lang w:eastAsia="zh-CN"/>
              </w:rPr>
              <w:t>（</w:t>
            </w:r>
            <w:r>
              <w:rPr>
                <w:rFonts w:hint="default" w:ascii="Times New Roman" w:hAnsi="Times New Roman" w:eastAsia="宋体" w:cs="Times New Roman"/>
                <w:bCs/>
                <w:color w:val="auto"/>
                <w:kern w:val="0"/>
                <w:sz w:val="24"/>
                <w:lang w:val="en-US" w:eastAsia="zh-CN"/>
              </w:rPr>
              <w:t>1</w:t>
            </w:r>
            <w:r>
              <w:rPr>
                <w:rFonts w:hint="default" w:ascii="Times New Roman" w:hAnsi="Times New Roman" w:eastAsia="宋体" w:cs="Times New Roman"/>
                <w:bCs/>
                <w:color w:val="auto"/>
                <w:kern w:val="0"/>
                <w:sz w:val="24"/>
                <w:lang w:eastAsia="zh-CN"/>
              </w:rPr>
              <w:t>）</w:t>
            </w:r>
            <w:r>
              <w:rPr>
                <w:rFonts w:hint="default" w:ascii="Times New Roman" w:hAnsi="Times New Roman" w:eastAsia="宋体" w:cs="Times New Roman"/>
                <w:bCs/>
                <w:color w:val="auto"/>
                <w:kern w:val="0"/>
                <w:sz w:val="24"/>
              </w:rPr>
              <w:t>源强核算及治理措施</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rPr>
            </w:pPr>
            <w:r>
              <w:rPr>
                <w:rFonts w:hint="eastAsia"/>
                <w:b/>
                <w:bCs/>
                <w:lang w:val="en-US" w:eastAsia="zh-CN"/>
              </w:rPr>
              <w:t xml:space="preserve">表4-13 </w:t>
            </w:r>
            <w:r>
              <w:rPr>
                <w:rFonts w:hint="default"/>
                <w:b/>
                <w:bCs/>
              </w:rPr>
              <w:t>噪声污染源产生、排放汇总表（室内声源）</w:t>
            </w:r>
          </w:p>
          <w:tbl>
            <w:tblPr>
              <w:tblStyle w:val="185"/>
              <w:tblW w:w="4998" w:type="pct"/>
              <w:tblInd w:w="0" w:type="dxa"/>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598"/>
              <w:gridCol w:w="1205"/>
              <w:gridCol w:w="1516"/>
              <w:gridCol w:w="746"/>
              <w:gridCol w:w="2064"/>
              <w:gridCol w:w="913"/>
              <w:gridCol w:w="669"/>
              <w:gridCol w:w="330"/>
              <w:gridCol w:w="398"/>
              <w:gridCol w:w="576"/>
              <w:gridCol w:w="330"/>
              <w:gridCol w:w="330"/>
              <w:gridCol w:w="330"/>
              <w:gridCol w:w="352"/>
              <w:gridCol w:w="573"/>
              <w:gridCol w:w="573"/>
              <w:gridCol w:w="573"/>
              <w:gridCol w:w="588"/>
            </w:tblGrid>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36" w:type="pct"/>
                  <w:vMerge w:val="restart"/>
                  <w:tcBorders>
                    <w:tl2br w:val="nil"/>
                    <w:tr2bl w:val="nil"/>
                  </w:tcBorders>
                  <w:textDirection w:val="tbRlV"/>
                  <w:vAlign w:val="center"/>
                </w:tcPr>
                <w:p>
                  <w:pPr>
                    <w:pStyle w:val="69"/>
                    <w:bidi w:val="0"/>
                    <w:jc w:val="center"/>
                    <w:rPr>
                      <w:b/>
                      <w:bCs/>
                    </w:rPr>
                  </w:pPr>
                  <w:r>
                    <w:rPr>
                      <w:b/>
                      <w:bCs/>
                    </w:rPr>
                    <w:t>序号</w:t>
                  </w:r>
                </w:p>
              </w:tc>
              <w:tc>
                <w:tcPr>
                  <w:tcW w:w="475" w:type="pct"/>
                  <w:vMerge w:val="restart"/>
                  <w:tcBorders>
                    <w:tl2br w:val="nil"/>
                    <w:tr2bl w:val="nil"/>
                  </w:tcBorders>
                  <w:vAlign w:val="center"/>
                </w:tcPr>
                <w:p>
                  <w:pPr>
                    <w:pStyle w:val="69"/>
                    <w:bidi w:val="0"/>
                    <w:jc w:val="center"/>
                    <w:rPr>
                      <w:b/>
                      <w:bCs/>
                    </w:rPr>
                  </w:pPr>
                  <w:r>
                    <w:rPr>
                      <w:b/>
                      <w:bCs/>
                    </w:rPr>
                    <w:t>建筑物名称</w:t>
                  </w:r>
                </w:p>
              </w:tc>
              <w:tc>
                <w:tcPr>
                  <w:tcW w:w="598" w:type="pct"/>
                  <w:vMerge w:val="restart"/>
                  <w:tcBorders>
                    <w:tl2br w:val="nil"/>
                    <w:tr2bl w:val="nil"/>
                  </w:tcBorders>
                  <w:vAlign w:val="center"/>
                </w:tcPr>
                <w:p>
                  <w:pPr>
                    <w:pStyle w:val="69"/>
                    <w:bidi w:val="0"/>
                    <w:jc w:val="center"/>
                    <w:rPr>
                      <w:b/>
                      <w:bCs/>
                    </w:rPr>
                  </w:pPr>
                  <w:r>
                    <w:rPr>
                      <w:b/>
                      <w:bCs/>
                    </w:rPr>
                    <w:t>声源名称</w:t>
                  </w:r>
                </w:p>
              </w:tc>
              <w:tc>
                <w:tcPr>
                  <w:tcW w:w="294" w:type="pct"/>
                  <w:vMerge w:val="restart"/>
                  <w:tcBorders>
                    <w:tl2br w:val="nil"/>
                    <w:tr2bl w:val="nil"/>
                  </w:tcBorders>
                  <w:vAlign w:val="center"/>
                </w:tcPr>
                <w:p>
                  <w:pPr>
                    <w:pStyle w:val="69"/>
                    <w:bidi w:val="0"/>
                    <w:jc w:val="center"/>
                    <w:rPr>
                      <w:b/>
                      <w:bCs/>
                    </w:rPr>
                  </w:pPr>
                  <w:r>
                    <w:rPr>
                      <w:b/>
                      <w:bCs/>
                    </w:rPr>
                    <w:t>型号</w:t>
                  </w:r>
                </w:p>
              </w:tc>
              <w:tc>
                <w:tcPr>
                  <w:tcW w:w="1174" w:type="pct"/>
                  <w:gridSpan w:val="2"/>
                  <w:tcBorders>
                    <w:tl2br w:val="nil"/>
                    <w:tr2bl w:val="nil"/>
                  </w:tcBorders>
                  <w:vAlign w:val="center"/>
                </w:tcPr>
                <w:p>
                  <w:pPr>
                    <w:pStyle w:val="69"/>
                    <w:bidi w:val="0"/>
                    <w:jc w:val="center"/>
                    <w:rPr>
                      <w:b/>
                      <w:bCs/>
                    </w:rPr>
                  </w:pPr>
                  <w:r>
                    <w:rPr>
                      <w:b/>
                      <w:bCs/>
                    </w:rPr>
                    <w:t>声源源强(任选一种)</w:t>
                  </w:r>
                </w:p>
              </w:tc>
              <w:tc>
                <w:tcPr>
                  <w:tcW w:w="264" w:type="pct"/>
                  <w:vMerge w:val="restart"/>
                  <w:tcBorders>
                    <w:tl2br w:val="nil"/>
                    <w:tr2bl w:val="nil"/>
                  </w:tcBorders>
                  <w:vAlign w:val="center"/>
                </w:tcPr>
                <w:p>
                  <w:pPr>
                    <w:pStyle w:val="69"/>
                    <w:bidi w:val="0"/>
                    <w:jc w:val="center"/>
                    <w:rPr>
                      <w:b/>
                      <w:bCs/>
                    </w:rPr>
                  </w:pPr>
                  <w:r>
                    <w:rPr>
                      <w:b/>
                      <w:bCs/>
                    </w:rPr>
                    <w:t>声源控制措施</w:t>
                  </w:r>
                </w:p>
              </w:tc>
              <w:tc>
                <w:tcPr>
                  <w:tcW w:w="514" w:type="pct"/>
                  <w:gridSpan w:val="3"/>
                  <w:tcBorders>
                    <w:tl2br w:val="nil"/>
                    <w:tr2bl w:val="nil"/>
                  </w:tcBorders>
                  <w:vAlign w:val="center"/>
                </w:tcPr>
                <w:p>
                  <w:pPr>
                    <w:pStyle w:val="69"/>
                    <w:bidi w:val="0"/>
                    <w:jc w:val="center"/>
                    <w:rPr>
                      <w:b/>
                      <w:bCs/>
                    </w:rPr>
                  </w:pPr>
                  <w:r>
                    <w:rPr>
                      <w:b/>
                      <w:bCs/>
                    </w:rPr>
                    <w:t>空间相对位置/m</w:t>
                  </w:r>
                </w:p>
              </w:tc>
              <w:tc>
                <w:tcPr>
                  <w:tcW w:w="529" w:type="pct"/>
                  <w:gridSpan w:val="4"/>
                  <w:vMerge w:val="restart"/>
                  <w:tcBorders>
                    <w:tl2br w:val="nil"/>
                    <w:tr2bl w:val="nil"/>
                  </w:tcBorders>
                  <w:vAlign w:val="center"/>
                </w:tcPr>
                <w:p>
                  <w:pPr>
                    <w:pStyle w:val="69"/>
                    <w:bidi w:val="0"/>
                    <w:jc w:val="center"/>
                    <w:rPr>
                      <w:b/>
                      <w:bCs/>
                    </w:rPr>
                  </w:pPr>
                  <w:r>
                    <w:rPr>
                      <w:b/>
                      <w:bCs/>
                    </w:rPr>
                    <w:t>距室内边界距离/m</w:t>
                  </w:r>
                </w:p>
              </w:tc>
              <w:tc>
                <w:tcPr>
                  <w:tcW w:w="910" w:type="pct"/>
                  <w:gridSpan w:val="4"/>
                  <w:vMerge w:val="restart"/>
                  <w:tcBorders>
                    <w:tl2br w:val="nil"/>
                    <w:tr2bl w:val="nil"/>
                  </w:tcBorders>
                  <w:vAlign w:val="center"/>
                </w:tcPr>
                <w:p>
                  <w:pPr>
                    <w:pStyle w:val="69"/>
                    <w:bidi w:val="0"/>
                    <w:jc w:val="center"/>
                    <w:rPr>
                      <w:b/>
                      <w:bCs/>
                    </w:rPr>
                  </w:pPr>
                  <w:r>
                    <w:rPr>
                      <w:b/>
                      <w:bCs/>
                    </w:rPr>
                    <w:t>室内边界声级/dB(A)</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36" w:type="pct"/>
                  <w:vMerge w:val="continue"/>
                  <w:tcBorders>
                    <w:tl2br w:val="nil"/>
                    <w:tr2bl w:val="nil"/>
                  </w:tcBorders>
                  <w:textDirection w:val="tbRlV"/>
                  <w:vAlign w:val="center"/>
                </w:tcPr>
                <w:p>
                  <w:pPr>
                    <w:pStyle w:val="69"/>
                    <w:bidi w:val="0"/>
                    <w:jc w:val="center"/>
                    <w:rPr>
                      <w:b/>
                      <w:bCs/>
                    </w:rPr>
                  </w:pPr>
                </w:p>
              </w:tc>
              <w:tc>
                <w:tcPr>
                  <w:tcW w:w="475" w:type="pct"/>
                  <w:vMerge w:val="continue"/>
                  <w:tcBorders>
                    <w:tl2br w:val="nil"/>
                    <w:tr2bl w:val="nil"/>
                  </w:tcBorders>
                  <w:vAlign w:val="center"/>
                </w:tcPr>
                <w:p>
                  <w:pPr>
                    <w:pStyle w:val="69"/>
                    <w:bidi w:val="0"/>
                    <w:jc w:val="center"/>
                    <w:rPr>
                      <w:b/>
                      <w:bCs/>
                    </w:rPr>
                  </w:pPr>
                </w:p>
              </w:tc>
              <w:tc>
                <w:tcPr>
                  <w:tcW w:w="598" w:type="pct"/>
                  <w:vMerge w:val="continue"/>
                  <w:tcBorders>
                    <w:tl2br w:val="nil"/>
                    <w:tr2bl w:val="nil"/>
                  </w:tcBorders>
                  <w:vAlign w:val="center"/>
                </w:tcPr>
                <w:p>
                  <w:pPr>
                    <w:pStyle w:val="69"/>
                    <w:bidi w:val="0"/>
                    <w:jc w:val="center"/>
                    <w:rPr>
                      <w:b/>
                      <w:bCs/>
                    </w:rPr>
                  </w:pPr>
                </w:p>
              </w:tc>
              <w:tc>
                <w:tcPr>
                  <w:tcW w:w="294" w:type="pct"/>
                  <w:vMerge w:val="continue"/>
                  <w:tcBorders>
                    <w:tl2br w:val="nil"/>
                    <w:tr2bl w:val="nil"/>
                  </w:tcBorders>
                  <w:vAlign w:val="center"/>
                </w:tcPr>
                <w:p>
                  <w:pPr>
                    <w:pStyle w:val="69"/>
                    <w:bidi w:val="0"/>
                    <w:jc w:val="center"/>
                    <w:rPr>
                      <w:b/>
                      <w:bCs/>
                    </w:rPr>
                  </w:pPr>
                </w:p>
              </w:tc>
              <w:tc>
                <w:tcPr>
                  <w:tcW w:w="814" w:type="pct"/>
                  <w:vMerge w:val="restart"/>
                  <w:tcBorders>
                    <w:tl2br w:val="nil"/>
                    <w:tr2bl w:val="nil"/>
                  </w:tcBorders>
                  <w:vAlign w:val="center"/>
                </w:tcPr>
                <w:p>
                  <w:pPr>
                    <w:pStyle w:val="69"/>
                    <w:bidi w:val="0"/>
                    <w:jc w:val="center"/>
                    <w:rPr>
                      <w:b/>
                      <w:bCs/>
                    </w:rPr>
                  </w:pPr>
                  <w:r>
                    <w:rPr>
                      <w:b/>
                      <w:bCs/>
                    </w:rPr>
                    <w:t>(声压级/距声源距离)/(dB(A)/m)</w:t>
                  </w:r>
                </w:p>
              </w:tc>
              <w:tc>
                <w:tcPr>
                  <w:tcW w:w="359" w:type="pct"/>
                  <w:vMerge w:val="restart"/>
                  <w:tcBorders>
                    <w:tl2br w:val="nil"/>
                    <w:tr2bl w:val="nil"/>
                  </w:tcBorders>
                  <w:vAlign w:val="center"/>
                </w:tcPr>
                <w:p>
                  <w:pPr>
                    <w:pStyle w:val="69"/>
                    <w:bidi w:val="0"/>
                    <w:jc w:val="center"/>
                    <w:rPr>
                      <w:b/>
                      <w:bCs/>
                    </w:rPr>
                  </w:pPr>
                  <w:r>
                    <w:rPr>
                      <w:b/>
                      <w:bCs/>
                    </w:rPr>
                    <w:t>声功率级dB(A)</w:t>
                  </w:r>
                </w:p>
              </w:tc>
              <w:tc>
                <w:tcPr>
                  <w:tcW w:w="264" w:type="pct"/>
                  <w:vMerge w:val="continue"/>
                  <w:tcBorders>
                    <w:tl2br w:val="nil"/>
                    <w:tr2bl w:val="nil"/>
                  </w:tcBorders>
                  <w:vAlign w:val="center"/>
                </w:tcPr>
                <w:p>
                  <w:pPr>
                    <w:pStyle w:val="69"/>
                    <w:bidi w:val="0"/>
                    <w:jc w:val="center"/>
                    <w:rPr>
                      <w:b/>
                      <w:bCs/>
                    </w:rPr>
                  </w:pPr>
                </w:p>
              </w:tc>
              <w:tc>
                <w:tcPr>
                  <w:tcW w:w="130" w:type="pct"/>
                  <w:vMerge w:val="restart"/>
                  <w:tcBorders>
                    <w:tl2br w:val="nil"/>
                    <w:tr2bl w:val="nil"/>
                  </w:tcBorders>
                  <w:vAlign w:val="center"/>
                </w:tcPr>
                <w:p>
                  <w:pPr>
                    <w:pStyle w:val="69"/>
                    <w:bidi w:val="0"/>
                    <w:jc w:val="center"/>
                    <w:rPr>
                      <w:b/>
                      <w:bCs/>
                    </w:rPr>
                  </w:pPr>
                  <w:r>
                    <w:rPr>
                      <w:b/>
                      <w:bCs/>
                    </w:rPr>
                    <w:t>X</w:t>
                  </w:r>
                </w:p>
              </w:tc>
              <w:tc>
                <w:tcPr>
                  <w:tcW w:w="157" w:type="pct"/>
                  <w:vMerge w:val="restart"/>
                  <w:tcBorders>
                    <w:tl2br w:val="nil"/>
                    <w:tr2bl w:val="nil"/>
                  </w:tcBorders>
                  <w:vAlign w:val="center"/>
                </w:tcPr>
                <w:p>
                  <w:pPr>
                    <w:pStyle w:val="69"/>
                    <w:bidi w:val="0"/>
                    <w:jc w:val="center"/>
                    <w:rPr>
                      <w:b/>
                      <w:bCs/>
                    </w:rPr>
                  </w:pPr>
                  <w:r>
                    <w:rPr>
                      <w:b/>
                      <w:bCs/>
                    </w:rPr>
                    <w:t>Y</w:t>
                  </w:r>
                </w:p>
              </w:tc>
              <w:tc>
                <w:tcPr>
                  <w:tcW w:w="227" w:type="pct"/>
                  <w:vMerge w:val="restart"/>
                  <w:tcBorders>
                    <w:tl2br w:val="nil"/>
                    <w:tr2bl w:val="nil"/>
                  </w:tcBorders>
                  <w:vAlign w:val="center"/>
                </w:tcPr>
                <w:p>
                  <w:pPr>
                    <w:pStyle w:val="69"/>
                    <w:bidi w:val="0"/>
                    <w:jc w:val="center"/>
                    <w:rPr>
                      <w:b/>
                      <w:bCs/>
                    </w:rPr>
                  </w:pPr>
                  <w:r>
                    <w:rPr>
                      <w:b/>
                      <w:bCs/>
                    </w:rPr>
                    <w:t>Z</w:t>
                  </w:r>
                </w:p>
              </w:tc>
              <w:tc>
                <w:tcPr>
                  <w:tcW w:w="529" w:type="pct"/>
                  <w:gridSpan w:val="4"/>
                  <w:vMerge w:val="continue"/>
                  <w:tcBorders>
                    <w:bottom w:val="single" w:color="auto" w:sz="4" w:space="0"/>
                    <w:tl2br w:val="nil"/>
                    <w:tr2bl w:val="nil"/>
                  </w:tcBorders>
                  <w:vAlign w:val="center"/>
                </w:tcPr>
                <w:p>
                  <w:pPr>
                    <w:pStyle w:val="69"/>
                    <w:bidi w:val="0"/>
                    <w:jc w:val="center"/>
                    <w:rPr>
                      <w:b/>
                      <w:bCs/>
                    </w:rPr>
                  </w:pPr>
                </w:p>
              </w:tc>
              <w:tc>
                <w:tcPr>
                  <w:tcW w:w="910" w:type="pct"/>
                  <w:gridSpan w:val="4"/>
                  <w:vMerge w:val="continue"/>
                  <w:tcBorders>
                    <w:bottom w:val="single" w:color="auto" w:sz="4" w:space="0"/>
                    <w:tl2br w:val="nil"/>
                    <w:tr2bl w:val="nil"/>
                  </w:tcBorders>
                  <w:vAlign w:val="center"/>
                </w:tcPr>
                <w:p>
                  <w:pPr>
                    <w:pStyle w:val="69"/>
                    <w:bidi w:val="0"/>
                    <w:jc w:val="center"/>
                    <w:rPr>
                      <w:b/>
                      <w:bCs/>
                    </w:rPr>
                  </w:pP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236" w:type="pct"/>
                  <w:vMerge w:val="continue"/>
                  <w:tcBorders>
                    <w:tl2br w:val="nil"/>
                    <w:tr2bl w:val="nil"/>
                  </w:tcBorders>
                  <w:textDirection w:val="tbRlV"/>
                  <w:vAlign w:val="center"/>
                </w:tcPr>
                <w:p>
                  <w:pPr>
                    <w:pStyle w:val="69"/>
                    <w:bidi w:val="0"/>
                    <w:jc w:val="center"/>
                    <w:rPr>
                      <w:b/>
                      <w:bCs/>
                    </w:rPr>
                  </w:pPr>
                </w:p>
              </w:tc>
              <w:tc>
                <w:tcPr>
                  <w:tcW w:w="475" w:type="pct"/>
                  <w:vMerge w:val="continue"/>
                  <w:tcBorders>
                    <w:tl2br w:val="nil"/>
                    <w:tr2bl w:val="nil"/>
                  </w:tcBorders>
                  <w:vAlign w:val="center"/>
                </w:tcPr>
                <w:p>
                  <w:pPr>
                    <w:pStyle w:val="69"/>
                    <w:bidi w:val="0"/>
                    <w:jc w:val="center"/>
                    <w:rPr>
                      <w:b/>
                      <w:bCs/>
                    </w:rPr>
                  </w:pPr>
                </w:p>
              </w:tc>
              <w:tc>
                <w:tcPr>
                  <w:tcW w:w="598" w:type="pct"/>
                  <w:vMerge w:val="continue"/>
                  <w:tcBorders>
                    <w:tl2br w:val="nil"/>
                    <w:tr2bl w:val="nil"/>
                  </w:tcBorders>
                  <w:vAlign w:val="center"/>
                </w:tcPr>
                <w:p>
                  <w:pPr>
                    <w:pStyle w:val="69"/>
                    <w:bidi w:val="0"/>
                    <w:jc w:val="center"/>
                    <w:rPr>
                      <w:b/>
                      <w:bCs/>
                    </w:rPr>
                  </w:pPr>
                </w:p>
              </w:tc>
              <w:tc>
                <w:tcPr>
                  <w:tcW w:w="294" w:type="pct"/>
                  <w:vMerge w:val="continue"/>
                  <w:tcBorders>
                    <w:tl2br w:val="nil"/>
                    <w:tr2bl w:val="nil"/>
                  </w:tcBorders>
                  <w:vAlign w:val="center"/>
                </w:tcPr>
                <w:p>
                  <w:pPr>
                    <w:pStyle w:val="69"/>
                    <w:bidi w:val="0"/>
                    <w:jc w:val="center"/>
                    <w:rPr>
                      <w:b/>
                      <w:bCs/>
                    </w:rPr>
                  </w:pPr>
                </w:p>
              </w:tc>
              <w:tc>
                <w:tcPr>
                  <w:tcW w:w="814" w:type="pct"/>
                  <w:vMerge w:val="continue"/>
                  <w:tcBorders>
                    <w:tl2br w:val="nil"/>
                    <w:tr2bl w:val="nil"/>
                  </w:tcBorders>
                  <w:vAlign w:val="center"/>
                </w:tcPr>
                <w:p>
                  <w:pPr>
                    <w:pStyle w:val="69"/>
                    <w:bidi w:val="0"/>
                    <w:jc w:val="center"/>
                    <w:rPr>
                      <w:b/>
                      <w:bCs/>
                    </w:rPr>
                  </w:pPr>
                </w:p>
              </w:tc>
              <w:tc>
                <w:tcPr>
                  <w:tcW w:w="359" w:type="pct"/>
                  <w:vMerge w:val="continue"/>
                  <w:tcBorders>
                    <w:tl2br w:val="nil"/>
                    <w:tr2bl w:val="nil"/>
                  </w:tcBorders>
                  <w:vAlign w:val="center"/>
                </w:tcPr>
                <w:p>
                  <w:pPr>
                    <w:pStyle w:val="69"/>
                    <w:bidi w:val="0"/>
                    <w:jc w:val="center"/>
                    <w:rPr>
                      <w:b/>
                      <w:bCs/>
                    </w:rPr>
                  </w:pPr>
                </w:p>
              </w:tc>
              <w:tc>
                <w:tcPr>
                  <w:tcW w:w="264" w:type="pct"/>
                  <w:vMerge w:val="continue"/>
                  <w:tcBorders>
                    <w:tl2br w:val="nil"/>
                    <w:tr2bl w:val="nil"/>
                  </w:tcBorders>
                  <w:vAlign w:val="center"/>
                </w:tcPr>
                <w:p>
                  <w:pPr>
                    <w:pStyle w:val="69"/>
                    <w:bidi w:val="0"/>
                    <w:jc w:val="center"/>
                    <w:rPr>
                      <w:b/>
                      <w:bCs/>
                    </w:rPr>
                  </w:pPr>
                </w:p>
              </w:tc>
              <w:tc>
                <w:tcPr>
                  <w:tcW w:w="130" w:type="pct"/>
                  <w:vMerge w:val="continue"/>
                  <w:tcBorders>
                    <w:tl2br w:val="nil"/>
                    <w:tr2bl w:val="nil"/>
                  </w:tcBorders>
                  <w:vAlign w:val="center"/>
                </w:tcPr>
                <w:p>
                  <w:pPr>
                    <w:pStyle w:val="69"/>
                    <w:bidi w:val="0"/>
                    <w:jc w:val="center"/>
                    <w:rPr>
                      <w:b/>
                      <w:bCs/>
                    </w:rPr>
                  </w:pPr>
                </w:p>
              </w:tc>
              <w:tc>
                <w:tcPr>
                  <w:tcW w:w="157" w:type="pct"/>
                  <w:vMerge w:val="continue"/>
                  <w:tcBorders>
                    <w:tl2br w:val="nil"/>
                    <w:tr2bl w:val="nil"/>
                  </w:tcBorders>
                  <w:vAlign w:val="center"/>
                </w:tcPr>
                <w:p>
                  <w:pPr>
                    <w:pStyle w:val="69"/>
                    <w:bidi w:val="0"/>
                    <w:jc w:val="center"/>
                    <w:rPr>
                      <w:b/>
                      <w:bCs/>
                    </w:rPr>
                  </w:pPr>
                </w:p>
              </w:tc>
              <w:tc>
                <w:tcPr>
                  <w:tcW w:w="227" w:type="pct"/>
                  <w:vMerge w:val="continue"/>
                  <w:tcBorders>
                    <w:tl2br w:val="nil"/>
                    <w:tr2bl w:val="nil"/>
                  </w:tcBorders>
                  <w:vAlign w:val="center"/>
                </w:tcPr>
                <w:p>
                  <w:pPr>
                    <w:pStyle w:val="69"/>
                    <w:bidi w:val="0"/>
                    <w:jc w:val="center"/>
                    <w:rPr>
                      <w:b/>
                      <w:bCs/>
                    </w:rPr>
                  </w:pPr>
                </w:p>
              </w:tc>
              <w:tc>
                <w:tcPr>
                  <w:tcW w:w="130" w:type="pct"/>
                  <w:tcBorders>
                    <w:top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东</w:t>
                  </w:r>
                </w:p>
              </w:tc>
              <w:tc>
                <w:tcPr>
                  <w:tcW w:w="130"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西</w:t>
                  </w:r>
                </w:p>
              </w:tc>
              <w:tc>
                <w:tcPr>
                  <w:tcW w:w="130"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南</w:t>
                  </w:r>
                </w:p>
              </w:tc>
              <w:tc>
                <w:tcPr>
                  <w:tcW w:w="138" w:type="pct"/>
                  <w:tcBorders>
                    <w:top w:val="single" w:color="auto" w:sz="4" w:space="0"/>
                    <w:lef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北</w:t>
                  </w:r>
                </w:p>
              </w:tc>
              <w:tc>
                <w:tcPr>
                  <w:tcW w:w="226" w:type="pct"/>
                  <w:tcBorders>
                    <w:top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东</w:t>
                  </w:r>
                </w:p>
              </w:tc>
              <w:tc>
                <w:tcPr>
                  <w:tcW w:w="226"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西</w:t>
                  </w:r>
                </w:p>
              </w:tc>
              <w:tc>
                <w:tcPr>
                  <w:tcW w:w="226" w:type="pct"/>
                  <w:tcBorders>
                    <w:top w:val="single" w:color="auto" w:sz="4" w:space="0"/>
                    <w:left w:val="single" w:color="auto" w:sz="4" w:space="0"/>
                    <w:righ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南</w:t>
                  </w:r>
                </w:p>
              </w:tc>
              <w:tc>
                <w:tcPr>
                  <w:tcW w:w="232" w:type="pct"/>
                  <w:tcBorders>
                    <w:top w:val="single" w:color="auto" w:sz="4" w:space="0"/>
                    <w:left w:val="single" w:color="auto" w:sz="4" w:space="0"/>
                    <w:tl2br w:val="nil"/>
                    <w:tr2bl w:val="nil"/>
                  </w:tcBorders>
                  <w:vAlign w:val="center"/>
                </w:tcPr>
                <w:p>
                  <w:pPr>
                    <w:pStyle w:val="69"/>
                    <w:bidi w:val="0"/>
                    <w:jc w:val="center"/>
                    <w:rPr>
                      <w:rFonts w:hint="eastAsia"/>
                      <w:b/>
                      <w:bCs/>
                      <w:lang w:val="en-US" w:eastAsia="zh-CN"/>
                    </w:rPr>
                  </w:pPr>
                  <w:r>
                    <w:rPr>
                      <w:rFonts w:hint="eastAsia"/>
                      <w:b/>
                      <w:bCs/>
                      <w:lang w:val="en-US" w:eastAsia="zh-CN"/>
                    </w:rPr>
                    <w:t>北</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36" w:type="pct"/>
                  <w:vMerge w:val="restart"/>
                  <w:tcBorders>
                    <w:tl2br w:val="nil"/>
                    <w:tr2bl w:val="nil"/>
                  </w:tcBorders>
                  <w:vAlign w:val="center"/>
                </w:tcPr>
                <w:p>
                  <w:pPr>
                    <w:pStyle w:val="69"/>
                    <w:bidi w:val="0"/>
                    <w:jc w:val="center"/>
                  </w:pPr>
                  <w:r>
                    <w:t>1</w:t>
                  </w:r>
                </w:p>
              </w:tc>
              <w:tc>
                <w:tcPr>
                  <w:tcW w:w="475" w:type="pct"/>
                  <w:vMerge w:val="restart"/>
                  <w:tcBorders>
                    <w:tl2br w:val="nil"/>
                    <w:tr2bl w:val="nil"/>
                  </w:tcBorders>
                  <w:vAlign w:val="center"/>
                </w:tcPr>
                <w:p>
                  <w:pPr>
                    <w:pStyle w:val="69"/>
                    <w:bidi w:val="0"/>
                    <w:jc w:val="center"/>
                    <w:rPr>
                      <w:rFonts w:hint="default"/>
                      <w:lang w:val="en-US" w:eastAsia="zh-CN"/>
                    </w:rPr>
                  </w:pPr>
                  <w:r>
                    <w:rPr>
                      <w:rFonts w:hint="eastAsia"/>
                      <w:lang w:val="en-US" w:eastAsia="zh-CN"/>
                    </w:rPr>
                    <w:t>生产车间</w:t>
                  </w:r>
                </w:p>
              </w:tc>
              <w:tc>
                <w:tcPr>
                  <w:tcW w:w="598" w:type="pct"/>
                  <w:tcBorders>
                    <w:tl2br w:val="nil"/>
                    <w:tr2bl w:val="nil"/>
                  </w:tcBorders>
                  <w:vAlign w:val="center"/>
                </w:tcPr>
                <w:p>
                  <w:pPr>
                    <w:bidi w:val="0"/>
                    <w:spacing w:line="240" w:lineRule="auto"/>
                    <w:jc w:val="center"/>
                    <w:rPr>
                      <w:rFonts w:hint="eastAsia"/>
                      <w:lang w:val="en-US" w:eastAsia="zh-CN"/>
                    </w:rPr>
                  </w:pPr>
                  <w:r>
                    <w:rPr>
                      <w:rFonts w:hint="eastAsia"/>
                      <w:lang w:val="en-US" w:eastAsia="zh-CN"/>
                    </w:rPr>
                    <w:t>超声波清洗机</w:t>
                  </w:r>
                </w:p>
              </w:tc>
              <w:tc>
                <w:tcPr>
                  <w:tcW w:w="294" w:type="pct"/>
                  <w:tcBorders>
                    <w:tl2br w:val="nil"/>
                    <w:tr2bl w:val="nil"/>
                  </w:tcBorders>
                  <w:vAlign w:val="center"/>
                </w:tcPr>
                <w:p>
                  <w:pPr>
                    <w:pStyle w:val="69"/>
                    <w:bidi w:val="0"/>
                    <w:jc w:val="center"/>
                    <w:rPr>
                      <w:rFonts w:hint="default"/>
                      <w:lang w:val="en-US" w:eastAsia="zh-CN"/>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lang w:val="en-US" w:eastAsia="zh-CN"/>
                    </w:rPr>
                  </w:pPr>
                  <w:r>
                    <w:rPr>
                      <w:rFonts w:hint="default"/>
                      <w:lang w:val="en-US" w:eastAsia="zh-CN"/>
                    </w:rPr>
                    <w:t>85</w:t>
                  </w:r>
                </w:p>
              </w:tc>
              <w:tc>
                <w:tcPr>
                  <w:tcW w:w="264" w:type="pct"/>
                  <w:vMerge w:val="restart"/>
                  <w:tcBorders>
                    <w:tl2br w:val="nil"/>
                    <w:tr2bl w:val="nil"/>
                  </w:tcBorders>
                  <w:vAlign w:val="center"/>
                </w:tcPr>
                <w:p>
                  <w:pPr>
                    <w:pStyle w:val="69"/>
                    <w:bidi w:val="0"/>
                    <w:jc w:val="center"/>
                  </w:pPr>
                  <w:r>
                    <w:rPr>
                      <w:rFonts w:hint="eastAsia"/>
                    </w:rPr>
                    <w:t>消声减振、距离衰减</w:t>
                  </w:r>
                </w:p>
              </w:tc>
              <w:tc>
                <w:tcPr>
                  <w:tcW w:w="130" w:type="pct"/>
                  <w:tcBorders>
                    <w:tl2br w:val="nil"/>
                    <w:tr2bl w:val="nil"/>
                  </w:tcBorders>
                  <w:vAlign w:val="center"/>
                </w:tcPr>
                <w:p>
                  <w:pPr>
                    <w:pStyle w:val="69"/>
                    <w:bidi w:val="0"/>
                    <w:jc w:val="center"/>
                    <w:rPr>
                      <w:rFonts w:hint="default"/>
                      <w:lang w:val="en-US" w:eastAsia="zh-CN"/>
                    </w:rPr>
                  </w:pPr>
                  <w:r>
                    <w:rPr>
                      <w:rFonts w:hint="eastAsia"/>
                      <w:lang w:val="en-US" w:eastAsia="zh-CN"/>
                    </w:rPr>
                    <w:t>15</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92</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1</w:t>
                  </w:r>
                </w:p>
              </w:tc>
              <w:tc>
                <w:tcPr>
                  <w:tcW w:w="130"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23</w:t>
                  </w:r>
                </w:p>
              </w:tc>
              <w:tc>
                <w:tcPr>
                  <w:tcW w:w="138"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53.4</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61.0</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36.4</w:t>
                  </w:r>
                </w:p>
              </w:tc>
              <w:tc>
                <w:tcPr>
                  <w:tcW w:w="232"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bidi w:val="0"/>
                    <w:spacing w:line="240" w:lineRule="auto"/>
                    <w:jc w:val="center"/>
                    <w:rPr>
                      <w:rFonts w:hint="eastAsia"/>
                      <w:lang w:val="en-US" w:eastAsia="zh-CN"/>
                    </w:rPr>
                  </w:pPr>
                  <w:r>
                    <w:rPr>
                      <w:rFonts w:hint="eastAsia"/>
                      <w:lang w:val="en-US" w:eastAsia="zh-CN"/>
                    </w:rPr>
                    <w:t>洁净烘干箱</w:t>
                  </w:r>
                </w:p>
              </w:tc>
              <w:tc>
                <w:tcPr>
                  <w:tcW w:w="29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65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25</w:t>
                  </w:r>
                </w:p>
              </w:tc>
              <w:tc>
                <w:tcPr>
                  <w:tcW w:w="157" w:type="pct"/>
                  <w:tcBorders>
                    <w:tl2br w:val="nil"/>
                    <w:tr2bl w:val="nil"/>
                  </w:tcBorders>
                  <w:vAlign w:val="center"/>
                </w:tcPr>
                <w:p>
                  <w:pPr>
                    <w:pStyle w:val="69"/>
                    <w:bidi w:val="0"/>
                    <w:jc w:val="center"/>
                    <w:rPr>
                      <w:rFonts w:hint="eastAsia"/>
                      <w:lang w:val="en-US" w:eastAsia="zh-CN"/>
                    </w:rPr>
                  </w:pPr>
                  <w:r>
                    <w:rPr>
                      <w:rFonts w:hint="eastAsia"/>
                      <w:lang w:val="en-US" w:eastAsia="zh-CN"/>
                    </w:rPr>
                    <w:t>92</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4</w:t>
                  </w:r>
                </w:p>
              </w:tc>
              <w:tc>
                <w:tcPr>
                  <w:tcW w:w="130"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63</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12</w:t>
                  </w:r>
                </w:p>
              </w:tc>
              <w:tc>
                <w:tcPr>
                  <w:tcW w:w="138"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59.2</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c>
                <w:tcPr>
                  <w:tcW w:w="232"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bidi w:val="0"/>
                    <w:spacing w:line="240" w:lineRule="auto"/>
                    <w:jc w:val="center"/>
                    <w:rPr>
                      <w:rFonts w:hint="eastAsia"/>
                      <w:lang w:val="en-US" w:eastAsia="zh-CN"/>
                    </w:rPr>
                  </w:pPr>
                  <w:r>
                    <w:rPr>
                      <w:rFonts w:hint="eastAsia"/>
                      <w:lang w:val="en-US" w:eastAsia="zh-CN"/>
                    </w:rPr>
                    <w:t>自动点胶机</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80</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10</w:t>
                  </w:r>
                </w:p>
              </w:tc>
              <w:tc>
                <w:tcPr>
                  <w:tcW w:w="157" w:type="pct"/>
                  <w:tcBorders>
                    <w:tl2br w:val="nil"/>
                    <w:tr2bl w:val="nil"/>
                  </w:tcBorders>
                  <w:vAlign w:val="center"/>
                </w:tcPr>
                <w:p>
                  <w:pPr>
                    <w:pStyle w:val="69"/>
                    <w:bidi w:val="0"/>
                    <w:jc w:val="center"/>
                    <w:rPr>
                      <w:rFonts w:hint="eastAsia"/>
                      <w:lang w:val="en-US" w:eastAsia="zh-CN"/>
                    </w:rPr>
                  </w:pPr>
                  <w:r>
                    <w:rPr>
                      <w:rFonts w:hint="eastAsia"/>
                      <w:lang w:val="en-US" w:eastAsia="zh-CN"/>
                    </w:rPr>
                    <w:t>92</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7</w:t>
                  </w:r>
                </w:p>
              </w:tc>
              <w:tc>
                <w:tcPr>
                  <w:tcW w:w="130"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13</w:t>
                  </w:r>
                </w:p>
              </w:tc>
              <w:tc>
                <w:tcPr>
                  <w:tcW w:w="138"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44.3</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37.6</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24.5</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bidi w:val="0"/>
                    <w:spacing w:line="240" w:lineRule="auto"/>
                    <w:jc w:val="center"/>
                  </w:pPr>
                  <w:r>
                    <w:rPr>
                      <w:rFonts w:hint="eastAsia"/>
                      <w:lang w:val="en-US" w:eastAsia="zh-CN"/>
                    </w:rPr>
                    <w:t>手动点胶机</w:t>
                  </w:r>
                </w:p>
              </w:tc>
              <w:tc>
                <w:tcPr>
                  <w:tcW w:w="294" w:type="pct"/>
                  <w:tcBorders>
                    <w:tl2br w:val="nil"/>
                    <w:tr2bl w:val="nil"/>
                  </w:tcBorders>
                  <w:vAlign w:val="center"/>
                </w:tcPr>
                <w:p>
                  <w:pPr>
                    <w:pStyle w:val="69"/>
                    <w:bidi w:val="0"/>
                    <w:jc w:val="cente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lang w:val="en-US" w:eastAsia="zh-CN"/>
                    </w:rPr>
                  </w:pPr>
                  <w:r>
                    <w:rPr>
                      <w:rFonts w:hint="eastAsia"/>
                      <w:lang w:val="en-US" w:eastAsia="zh-CN"/>
                    </w:rPr>
                    <w:t>70</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13</w:t>
                  </w:r>
                </w:p>
              </w:tc>
              <w:tc>
                <w:tcPr>
                  <w:tcW w:w="157" w:type="pct"/>
                  <w:tcBorders>
                    <w:tl2br w:val="nil"/>
                    <w:tr2bl w:val="nil"/>
                  </w:tcBorders>
                  <w:vAlign w:val="center"/>
                </w:tcPr>
                <w:p>
                  <w:pPr>
                    <w:pStyle w:val="69"/>
                    <w:bidi w:val="0"/>
                    <w:jc w:val="center"/>
                    <w:rPr>
                      <w:rFonts w:hint="eastAsia"/>
                      <w:lang w:val="en-US" w:eastAsia="zh-CN"/>
                    </w:rPr>
                  </w:pPr>
                  <w:r>
                    <w:rPr>
                      <w:rFonts w:hint="eastAsia"/>
                      <w:lang w:val="en-US" w:eastAsia="zh-CN"/>
                    </w:rPr>
                    <w:t>75</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4</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35</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15</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15</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44.3</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25.1</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25.1</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手电钻</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8</w:t>
                  </w:r>
                  <w:r>
                    <w:rPr>
                      <w:rFonts w:hint="default"/>
                      <w:lang w:val="en-US" w:eastAsia="zh-CN"/>
                    </w:rPr>
                    <w:t>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eastAsia"/>
                      <w:lang w:val="en-US" w:eastAsia="zh-CN"/>
                    </w:rPr>
                  </w:pPr>
                  <w:r>
                    <w:rPr>
                      <w:rFonts w:hint="eastAsia"/>
                      <w:lang w:val="en-US" w:eastAsia="zh-CN"/>
                    </w:rPr>
                    <w:t>13</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78</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7</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45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53</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15</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10</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46.2</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49.9</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25.1</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21.6</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自动封胶带机</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lang w:val="en-US" w:eastAsia="zh-CN"/>
                    </w:rPr>
                  </w:pPr>
                  <w:r>
                    <w:rPr>
                      <w:rFonts w:hint="default"/>
                      <w:lang w:val="en-US" w:eastAsia="zh-CN"/>
                    </w:rPr>
                    <w:t>75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default"/>
                      <w:lang w:val="en-US" w:eastAsia="zh-CN"/>
                    </w:rPr>
                  </w:pPr>
                  <w:r>
                    <w:rPr>
                      <w:rFonts w:hint="eastAsia"/>
                      <w:lang w:val="en-US" w:eastAsia="zh-CN"/>
                    </w:rPr>
                    <w:t>11</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60</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3</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63</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59.2</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44</w:t>
                  </w:r>
                </w:p>
              </w:tc>
              <w:tc>
                <w:tcPr>
                  <w:tcW w:w="226"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c>
                <w:tcPr>
                  <w:tcW w:w="232"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23.4</w:t>
                  </w:r>
                </w:p>
              </w:tc>
            </w:tr>
            <w:tr>
              <w:tblPrEx>
                <w:tblBorders>
                  <w:top w:val="thinThickSmallGap" w:color="000000" w:sz="12" w:space="0"/>
                  <w:left w:val="none" w:color="auto" w:sz="0" w:space="0"/>
                  <w:bottom w:val="thinThickSmallGap"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36" w:type="pct"/>
                  <w:vMerge w:val="continue"/>
                  <w:tcBorders>
                    <w:tl2br w:val="nil"/>
                    <w:tr2bl w:val="nil"/>
                  </w:tcBorders>
                  <w:vAlign w:val="center"/>
                </w:tcPr>
                <w:p>
                  <w:pPr>
                    <w:pStyle w:val="69"/>
                    <w:bidi w:val="0"/>
                    <w:jc w:val="center"/>
                  </w:pPr>
                </w:p>
              </w:tc>
              <w:tc>
                <w:tcPr>
                  <w:tcW w:w="475" w:type="pct"/>
                  <w:vMerge w:val="continue"/>
                  <w:tcBorders>
                    <w:tl2br w:val="nil"/>
                    <w:tr2bl w:val="nil"/>
                  </w:tcBorders>
                  <w:vAlign w:val="center"/>
                </w:tcPr>
                <w:p>
                  <w:pPr>
                    <w:pStyle w:val="69"/>
                    <w:bidi w:val="0"/>
                    <w:jc w:val="center"/>
                    <w:rPr>
                      <w:rFonts w:hint="eastAsia"/>
                      <w:lang w:val="en-US" w:eastAsia="zh-CN"/>
                    </w:rPr>
                  </w:pPr>
                </w:p>
              </w:tc>
              <w:tc>
                <w:tcPr>
                  <w:tcW w:w="598" w:type="pct"/>
                  <w:tcBorders>
                    <w:tl2br w:val="nil"/>
                    <w:tr2bl w:val="nil"/>
                  </w:tcBorders>
                  <w:vAlign w:val="center"/>
                </w:tcPr>
                <w:p>
                  <w:pPr>
                    <w:keepNext w:val="0"/>
                    <w:keepLines w:val="0"/>
                    <w:widowControl/>
                    <w:suppressLineNumbers w:val="0"/>
                    <w:spacing w:line="240" w:lineRule="auto"/>
                    <w:jc w:val="center"/>
                    <w:textAlignment w:val="center"/>
                    <w:rPr>
                      <w:rFonts w:hint="eastAsia"/>
                    </w:rPr>
                  </w:pPr>
                  <w:r>
                    <w:rPr>
                      <w:rFonts w:hint="eastAsia"/>
                      <w:lang w:val="en-US" w:eastAsia="zh-CN"/>
                    </w:rPr>
                    <w:t>纯水机</w:t>
                  </w:r>
                </w:p>
              </w:tc>
              <w:tc>
                <w:tcPr>
                  <w:tcW w:w="294" w:type="pct"/>
                  <w:tcBorders>
                    <w:tl2br w:val="nil"/>
                    <w:tr2bl w:val="nil"/>
                  </w:tcBorders>
                  <w:vAlign w:val="center"/>
                </w:tcPr>
                <w:p>
                  <w:pPr>
                    <w:pStyle w:val="69"/>
                    <w:bidi w:val="0"/>
                    <w:jc w:val="center"/>
                    <w:rPr>
                      <w:rFonts w:hint="eastAsia"/>
                    </w:rPr>
                  </w:pPr>
                  <w:r>
                    <w:rPr>
                      <w:rFonts w:hint="eastAsia"/>
                      <w:lang w:val="en-US" w:eastAsia="zh-CN"/>
                    </w:rPr>
                    <w:t>/</w:t>
                  </w:r>
                </w:p>
              </w:tc>
              <w:tc>
                <w:tcPr>
                  <w:tcW w:w="814" w:type="pct"/>
                  <w:tcBorders>
                    <w:tl2br w:val="nil"/>
                    <w:tr2bl w:val="nil"/>
                  </w:tcBorders>
                  <w:vAlign w:val="center"/>
                </w:tcPr>
                <w:p>
                  <w:pPr>
                    <w:pStyle w:val="69"/>
                    <w:bidi w:val="0"/>
                    <w:jc w:val="center"/>
                    <w:rPr>
                      <w:rFonts w:hint="eastAsia"/>
                      <w:lang w:val="en-US" w:eastAsia="zh-CN"/>
                    </w:rPr>
                  </w:pPr>
                  <w:r>
                    <w:rPr>
                      <w:rFonts w:hint="eastAsia"/>
                      <w:lang w:val="en-US" w:eastAsia="zh-CN"/>
                    </w:rPr>
                    <w:t>/</w:t>
                  </w:r>
                </w:p>
              </w:tc>
              <w:tc>
                <w:tcPr>
                  <w:tcW w:w="3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lang w:val="en-US" w:eastAsia="zh-CN"/>
                    </w:rPr>
                  </w:pPr>
                  <w:r>
                    <w:rPr>
                      <w:rFonts w:hint="eastAsia"/>
                      <w:lang w:val="en-US" w:eastAsia="zh-CN"/>
                    </w:rPr>
                    <w:t>65</w:t>
                  </w:r>
                </w:p>
              </w:tc>
              <w:tc>
                <w:tcPr>
                  <w:tcW w:w="264" w:type="pct"/>
                  <w:vMerge w:val="continue"/>
                  <w:tcBorders>
                    <w:tl2br w:val="nil"/>
                    <w:tr2bl w:val="nil"/>
                  </w:tcBorders>
                  <w:vAlign w:val="center"/>
                </w:tcPr>
                <w:p>
                  <w:pPr>
                    <w:pStyle w:val="69"/>
                    <w:bidi w:val="0"/>
                    <w:jc w:val="center"/>
                    <w:rPr>
                      <w:rFonts w:hint="eastAsia"/>
                    </w:rPr>
                  </w:pPr>
                </w:p>
              </w:tc>
              <w:tc>
                <w:tcPr>
                  <w:tcW w:w="130" w:type="pct"/>
                  <w:tcBorders>
                    <w:tl2br w:val="nil"/>
                    <w:tr2bl w:val="nil"/>
                  </w:tcBorders>
                  <w:vAlign w:val="center"/>
                </w:tcPr>
                <w:p>
                  <w:pPr>
                    <w:pStyle w:val="69"/>
                    <w:bidi w:val="0"/>
                    <w:jc w:val="center"/>
                    <w:rPr>
                      <w:rFonts w:hint="default"/>
                      <w:lang w:val="en-US" w:eastAsia="zh-CN"/>
                    </w:rPr>
                  </w:pPr>
                  <w:r>
                    <w:rPr>
                      <w:rFonts w:hint="eastAsia"/>
                      <w:lang w:val="en-US" w:eastAsia="zh-CN"/>
                    </w:rPr>
                    <w:t>26</w:t>
                  </w:r>
                </w:p>
              </w:tc>
              <w:tc>
                <w:tcPr>
                  <w:tcW w:w="157" w:type="pct"/>
                  <w:tcBorders>
                    <w:tl2br w:val="nil"/>
                    <w:tr2bl w:val="nil"/>
                  </w:tcBorders>
                  <w:vAlign w:val="center"/>
                </w:tcPr>
                <w:p>
                  <w:pPr>
                    <w:pStyle w:val="69"/>
                    <w:bidi w:val="0"/>
                    <w:jc w:val="center"/>
                    <w:rPr>
                      <w:rFonts w:hint="default"/>
                      <w:lang w:val="en-US" w:eastAsia="zh-CN"/>
                    </w:rPr>
                  </w:pPr>
                  <w:r>
                    <w:rPr>
                      <w:rFonts w:hint="eastAsia"/>
                      <w:lang w:val="en-US" w:eastAsia="zh-CN"/>
                    </w:rPr>
                    <w:t>43</w:t>
                  </w:r>
                </w:p>
              </w:tc>
              <w:tc>
                <w:tcPr>
                  <w:tcW w:w="227" w:type="pct"/>
                  <w:tcBorders>
                    <w:tl2br w:val="nil"/>
                    <w:tr2bl w:val="nil"/>
                  </w:tcBorders>
                  <w:vAlign w:val="center"/>
                </w:tcPr>
                <w:p>
                  <w:pPr>
                    <w:pStyle w:val="69"/>
                    <w:bidi w:val="0"/>
                    <w:jc w:val="center"/>
                    <w:rPr>
                      <w:rFonts w:hint="eastAsia"/>
                      <w:lang w:val="en-US" w:eastAsia="zh-CN"/>
                    </w:rPr>
                  </w:pPr>
                  <w:r>
                    <w:rPr>
                      <w:rFonts w:hint="eastAsia"/>
                      <w:lang w:val="en-US" w:eastAsia="zh-CN"/>
                    </w:rPr>
                    <w:t>7</w:t>
                  </w:r>
                </w:p>
              </w:tc>
              <w:tc>
                <w:tcPr>
                  <w:tcW w:w="130" w:type="pct"/>
                  <w:tcBorders>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65</w:t>
                  </w:r>
                </w:p>
              </w:tc>
              <w:tc>
                <w:tcPr>
                  <w:tcW w:w="130" w:type="pct"/>
                  <w:tcBorders>
                    <w:left w:val="single" w:color="auto" w:sz="4" w:space="0"/>
                    <w:righ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25</w:t>
                  </w:r>
                </w:p>
              </w:tc>
              <w:tc>
                <w:tcPr>
                  <w:tcW w:w="130"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c>
                <w:tcPr>
                  <w:tcW w:w="138" w:type="pct"/>
                  <w:tcBorders>
                    <w:left w:val="single" w:color="auto" w:sz="4" w:space="0"/>
                    <w:tl2br w:val="nil"/>
                    <w:tr2bl w:val="nil"/>
                  </w:tcBorders>
                  <w:vAlign w:val="center"/>
                </w:tcPr>
                <w:p>
                  <w:pPr>
                    <w:pStyle w:val="69"/>
                    <w:bidi w:val="0"/>
                    <w:jc w:val="center"/>
                    <w:rPr>
                      <w:rFonts w:hint="eastAsia"/>
                      <w:lang w:val="en-US" w:eastAsia="zh-CN"/>
                    </w:rPr>
                  </w:pPr>
                  <w:r>
                    <w:rPr>
                      <w:rFonts w:hint="eastAsia"/>
                      <w:lang w:val="en-US" w:eastAsia="zh-CN"/>
                    </w:rPr>
                    <w:t>12</w:t>
                  </w:r>
                </w:p>
              </w:tc>
              <w:tc>
                <w:tcPr>
                  <w:tcW w:w="226" w:type="pct"/>
                  <w:tcBorders>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61</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37.6</w:t>
                  </w:r>
                </w:p>
              </w:tc>
              <w:tc>
                <w:tcPr>
                  <w:tcW w:w="226" w:type="pct"/>
                  <w:tcBorders>
                    <w:left w:val="single" w:color="auto" w:sz="4" w:space="0"/>
                    <w:righ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63</w:t>
                  </w:r>
                </w:p>
              </w:tc>
              <w:tc>
                <w:tcPr>
                  <w:tcW w:w="232" w:type="pct"/>
                  <w:tcBorders>
                    <w:left w:val="single" w:color="auto" w:sz="4" w:space="0"/>
                    <w:tl2br w:val="nil"/>
                    <w:tr2bl w:val="nil"/>
                  </w:tcBorders>
                  <w:vAlign w:val="center"/>
                </w:tcPr>
                <w:p>
                  <w:pPr>
                    <w:pStyle w:val="69"/>
                    <w:bidi w:val="0"/>
                    <w:jc w:val="center"/>
                    <w:rPr>
                      <w:rFonts w:hint="default"/>
                      <w:lang w:val="en-US" w:eastAsia="zh-CN"/>
                    </w:rPr>
                  </w:pPr>
                  <w:r>
                    <w:rPr>
                      <w:rFonts w:hint="eastAsia"/>
                      <w:lang w:val="en-US" w:eastAsia="zh-CN"/>
                    </w:rPr>
                    <w:t>34</w:t>
                  </w:r>
                </w:p>
              </w:tc>
            </w:tr>
          </w:tbl>
          <w:p>
            <w:pPr>
              <w:adjustRightInd w:val="0"/>
              <w:snapToGrid w:val="0"/>
              <w:spacing w:line="360" w:lineRule="auto"/>
              <w:ind w:firstLine="420" w:firstLineChars="200"/>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tc>
      </w:tr>
    </w:tbl>
    <w:p>
      <w:pPr>
        <w:pStyle w:val="24"/>
        <w:jc w:val="center"/>
        <w:outlineLvl w:val="9"/>
        <w:rPr>
          <w:rFonts w:hint="eastAsia" w:ascii="黑体" w:hAnsi="黑体" w:eastAsia="黑体"/>
          <w:snapToGrid w:val="0"/>
          <w:sz w:val="30"/>
          <w:szCs w:val="30"/>
        </w:rPr>
        <w:sectPr>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8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5" w:hRule="atLeast"/>
          <w:jc w:val="center"/>
        </w:trPr>
        <w:tc>
          <w:tcPr>
            <w:tcW w:w="453"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保护</w:t>
            </w:r>
          </w:p>
          <w:p>
            <w:pPr>
              <w:adjustRightInd w:val="0"/>
              <w:snapToGrid w:val="0"/>
              <w:jc w:val="center"/>
              <w:rPr>
                <w:rFonts w:hint="eastAsia" w:cs="宋体"/>
                <w:kern w:val="2"/>
                <w:sz w:val="24"/>
                <w:szCs w:val="24"/>
              </w:rPr>
            </w:pPr>
            <w:r>
              <w:rPr>
                <w:rFonts w:hint="eastAsia" w:ascii="宋体" w:hAnsi="宋体" w:cs="宋体"/>
                <w:bCs/>
                <w:sz w:val="24"/>
                <w:szCs w:val="24"/>
              </w:rPr>
              <w:t>措施</w:t>
            </w:r>
          </w:p>
        </w:tc>
        <w:tc>
          <w:tcPr>
            <w:tcW w:w="8528" w:type="dxa"/>
            <w:noWrap w:val="0"/>
            <w:vAlign w:val="center"/>
          </w:tcPr>
          <w:p>
            <w:pPr>
              <w:pStyle w:val="72"/>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eastAsia" w:ascii="宋体" w:hAnsi="宋体" w:eastAsia="宋体" w:cs="宋体"/>
                <w:color w:val="000000"/>
                <w:kern w:val="0"/>
                <w:sz w:val="24"/>
                <w:szCs w:val="24"/>
                <w:lang w:val="en-US" w:eastAsia="zh-CN" w:bidi="ar"/>
              </w:rPr>
              <w:t xml:space="preserve">厂界噪声达标情况及环境影响分析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预测模式采用《环境影响评价技术导则声环境》（</w:t>
            </w:r>
            <w:r>
              <w:rPr>
                <w:rFonts w:hint="default" w:ascii="Times New Roman" w:hAnsi="Times New Roman" w:eastAsia="宋体" w:cs="Times New Roman"/>
                <w:color w:val="000000"/>
                <w:kern w:val="0"/>
                <w:sz w:val="24"/>
                <w:szCs w:val="24"/>
                <w:lang w:val="en-US" w:eastAsia="zh-CN" w:bidi="ar"/>
              </w:rPr>
              <w:t>HJ2.4-2021</w:t>
            </w:r>
            <w:r>
              <w:rPr>
                <w:rFonts w:hint="eastAsia" w:ascii="宋体" w:hAnsi="宋体" w:eastAsia="宋体" w:cs="宋体"/>
                <w:color w:val="000000"/>
                <w:kern w:val="0"/>
                <w:sz w:val="24"/>
                <w:szCs w:val="24"/>
                <w:lang w:val="en-US" w:eastAsia="zh-CN" w:bidi="ar"/>
              </w:rPr>
              <w:t xml:space="preserve">）中推荐的模型。噪声在传播过程中受到多种因素的干扰，使其产生衰减，根据建设项目噪声源和环境特征，预测过程中考虑了厂房等建筑物的屏障作用、空气吸收、地面效应等。预测模式采用点声源处于自由空间的几何发散模式。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）室内外声源计算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①室内某一声源在靠近围护结构处的声压级</w:t>
            </w:r>
          </w:p>
          <w:p>
            <w:pPr>
              <w:pStyle w:val="36"/>
              <w:jc w:val="center"/>
            </w:pPr>
            <w:r>
              <w:drawing>
                <wp:inline distT="0" distB="0" distL="114300" distR="114300">
                  <wp:extent cx="2028825" cy="609600"/>
                  <wp:effectExtent l="0" t="0" r="9525" b="0"/>
                  <wp:docPr id="49" name="图片 49" descr="1675518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1675518958(1)"/>
                          <pic:cNvPicPr>
                            <a:picLocks noChangeAspect="1"/>
                          </pic:cNvPicPr>
                        </pic:nvPicPr>
                        <pic:blipFill>
                          <a:blip r:embed="rId21"/>
                          <a:stretch>
                            <a:fillRect/>
                          </a:stretch>
                        </pic:blipFill>
                        <pic:spPr>
                          <a:xfrm>
                            <a:off x="0" y="0"/>
                            <a:ext cx="2028825" cy="609600"/>
                          </a:xfrm>
                          <a:prstGeom prst="rect">
                            <a:avLst/>
                          </a:prstGeom>
                        </pic:spPr>
                      </pic:pic>
                    </a:graphicData>
                  </a:graphic>
                </wp:inline>
              </w:drawing>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靠近开口处（或窗户）室内某倍频带的声压级或 </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声级，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w</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点声源声功率级（</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计权或倍频带），</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Q——</w:t>
            </w:r>
            <w:r>
              <w:rPr>
                <w:rFonts w:hint="eastAsia" w:ascii="宋体" w:hAnsi="宋体" w:eastAsia="宋体" w:cs="宋体"/>
                <w:color w:val="000000"/>
                <w:kern w:val="0"/>
                <w:sz w:val="24"/>
                <w:szCs w:val="24"/>
                <w:lang w:val="en-US" w:eastAsia="zh-CN" w:bidi="ar"/>
              </w:rPr>
              <w:t>指向性因数；通常对无指向性声源，当声源放在房间中心时，</w:t>
            </w:r>
            <w:r>
              <w:rPr>
                <w:rFonts w:hint="default" w:ascii="Times New Roman" w:hAnsi="Times New Roman" w:eastAsia="宋体" w:cs="Times New Roman"/>
                <w:color w:val="000000"/>
                <w:kern w:val="0"/>
                <w:sz w:val="24"/>
                <w:szCs w:val="24"/>
                <w:lang w:val="en-US" w:eastAsia="zh-CN" w:bidi="ar"/>
              </w:rPr>
              <w:t>Q=1</w:t>
            </w:r>
            <w:r>
              <w:rPr>
                <w:rFonts w:hint="eastAsia" w:ascii="宋体" w:hAnsi="宋体" w:eastAsia="宋体" w:cs="宋体"/>
                <w:color w:val="000000"/>
                <w:kern w:val="0"/>
                <w:sz w:val="24"/>
                <w:szCs w:val="24"/>
                <w:lang w:val="en-US" w:eastAsia="zh-CN" w:bidi="ar"/>
              </w:rPr>
              <w:t>；当放在一面墙的中心时，</w:t>
            </w:r>
            <w:r>
              <w:rPr>
                <w:rFonts w:hint="default" w:ascii="Times New Roman" w:hAnsi="Times New Roman" w:eastAsia="宋体" w:cs="Times New Roman"/>
                <w:color w:val="000000"/>
                <w:kern w:val="0"/>
                <w:sz w:val="24"/>
                <w:szCs w:val="24"/>
                <w:lang w:val="en-US" w:eastAsia="zh-CN" w:bidi="ar"/>
              </w:rPr>
              <w:t>Q=2</w:t>
            </w:r>
            <w:r>
              <w:rPr>
                <w:rFonts w:hint="eastAsia" w:ascii="宋体" w:hAnsi="宋体" w:eastAsia="宋体" w:cs="宋体"/>
                <w:color w:val="000000"/>
                <w:kern w:val="0"/>
                <w:sz w:val="24"/>
                <w:szCs w:val="24"/>
                <w:lang w:val="en-US" w:eastAsia="zh-CN" w:bidi="ar"/>
              </w:rPr>
              <w:t>；当放在两面墙夹角处时，</w:t>
            </w:r>
            <w:r>
              <w:rPr>
                <w:rFonts w:hint="default" w:ascii="Times New Roman" w:hAnsi="Times New Roman" w:eastAsia="宋体" w:cs="Times New Roman"/>
                <w:color w:val="000000"/>
                <w:kern w:val="0"/>
                <w:sz w:val="24"/>
                <w:szCs w:val="24"/>
                <w:lang w:val="en-US" w:eastAsia="zh-CN" w:bidi="ar"/>
              </w:rPr>
              <w:t>Q=4</w:t>
            </w:r>
            <w:r>
              <w:rPr>
                <w:rFonts w:hint="eastAsia" w:ascii="宋体" w:hAnsi="宋体" w:eastAsia="宋体" w:cs="宋体"/>
                <w:color w:val="000000"/>
                <w:kern w:val="0"/>
                <w:sz w:val="24"/>
                <w:szCs w:val="24"/>
                <w:lang w:val="en-US" w:eastAsia="zh-CN" w:bidi="ar"/>
              </w:rPr>
              <w:t>；当放在三面墙夹角处时，</w:t>
            </w:r>
            <w:r>
              <w:rPr>
                <w:rFonts w:hint="default" w:ascii="Times New Roman" w:hAnsi="Times New Roman" w:eastAsia="宋体" w:cs="Times New Roman"/>
                <w:color w:val="000000"/>
                <w:kern w:val="0"/>
                <w:sz w:val="24"/>
                <w:szCs w:val="24"/>
                <w:lang w:val="en-US" w:eastAsia="zh-CN" w:bidi="ar"/>
              </w:rPr>
              <w:t>Q=8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R——</w:t>
            </w:r>
            <w:r>
              <w:rPr>
                <w:rFonts w:hint="eastAsia" w:ascii="宋体" w:hAnsi="宋体" w:eastAsia="宋体" w:cs="宋体"/>
                <w:color w:val="000000"/>
                <w:kern w:val="0"/>
                <w:sz w:val="24"/>
                <w:szCs w:val="24"/>
                <w:lang w:val="en-US" w:eastAsia="zh-CN" w:bidi="ar"/>
              </w:rPr>
              <w:t>房间常数；</w:t>
            </w:r>
            <w:r>
              <w:rPr>
                <w:rFonts w:hint="default" w:ascii="Times New Roman" w:hAnsi="Times New Roman" w:eastAsia="宋体" w:cs="Times New Roman"/>
                <w:color w:val="000000"/>
                <w:kern w:val="0"/>
                <w:sz w:val="24"/>
                <w:szCs w:val="24"/>
                <w:lang w:val="en-US" w:eastAsia="zh-CN" w:bidi="ar"/>
              </w:rPr>
              <w:t>R=Sα/</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1-α</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S </w:t>
            </w:r>
            <w:r>
              <w:rPr>
                <w:rFonts w:hint="eastAsia" w:ascii="宋体" w:hAnsi="宋体" w:eastAsia="宋体" w:cs="宋体"/>
                <w:color w:val="000000"/>
                <w:kern w:val="0"/>
                <w:sz w:val="24"/>
                <w:szCs w:val="24"/>
                <w:lang w:val="en-US" w:eastAsia="zh-CN" w:bidi="ar"/>
              </w:rPr>
              <w:t>为房间内表面面积，</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15"/>
                <w:szCs w:val="15"/>
                <w:lang w:val="en-US" w:eastAsia="zh-CN" w:bidi="ar"/>
              </w:rPr>
              <w:t>2</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α</w:t>
            </w:r>
            <w:r>
              <w:rPr>
                <w:rFonts w:hint="eastAsia" w:ascii="宋体" w:hAnsi="宋体" w:eastAsia="宋体" w:cs="宋体"/>
                <w:color w:val="000000"/>
                <w:kern w:val="0"/>
                <w:sz w:val="24"/>
                <w:szCs w:val="24"/>
                <w:lang w:val="en-US" w:eastAsia="zh-CN" w:bidi="ar"/>
              </w:rPr>
              <w:t xml:space="preserve">为平均吸声系数；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r——</w:t>
            </w:r>
            <w:r>
              <w:rPr>
                <w:rFonts w:hint="eastAsia" w:ascii="宋体" w:hAnsi="宋体" w:eastAsia="宋体" w:cs="宋体"/>
                <w:color w:val="000000"/>
                <w:kern w:val="0"/>
                <w:sz w:val="24"/>
                <w:szCs w:val="24"/>
                <w:lang w:val="en-US" w:eastAsia="zh-CN" w:bidi="ar"/>
              </w:rPr>
              <w:t>声源到靠近围护结构某点处的距离，</w:t>
            </w: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②所有室内声源在靠近围护结构处产生的总声压级</w:t>
            </w:r>
          </w:p>
          <w:p>
            <w:pPr>
              <w:keepNext w:val="0"/>
              <w:keepLines w:val="0"/>
              <w:widowControl/>
              <w:suppressLineNumbers w:val="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drawing>
                <wp:inline distT="0" distB="0" distL="114300" distR="114300">
                  <wp:extent cx="1962150" cy="609600"/>
                  <wp:effectExtent l="0" t="0" r="0" b="0"/>
                  <wp:docPr id="50" name="图片 50" descr="1675519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1675519062(1)"/>
                          <pic:cNvPicPr>
                            <a:picLocks noChangeAspect="1"/>
                          </pic:cNvPicPr>
                        </pic:nvPicPr>
                        <pic:blipFill>
                          <a:blip r:embed="rId22"/>
                          <a:stretch>
                            <a:fillRect/>
                          </a:stretch>
                        </pic:blipFill>
                        <pic:spPr>
                          <a:xfrm>
                            <a:off x="0" y="0"/>
                            <a:ext cx="1962150" cy="60960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p1i</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靠近围护结构处室内</w:t>
            </w: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个声源</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p1ij</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室内</w:t>
            </w:r>
            <w:r>
              <w:rPr>
                <w:rFonts w:hint="default" w:ascii="Times New Roman" w:hAnsi="Times New Roman" w:eastAsia="宋体" w:cs="Times New Roman"/>
                <w:color w:val="000000"/>
                <w:kern w:val="0"/>
                <w:sz w:val="24"/>
                <w:szCs w:val="24"/>
                <w:lang w:val="en-US" w:eastAsia="zh-CN" w:bidi="ar"/>
              </w:rPr>
              <w:t>j</w:t>
            </w:r>
            <w:r>
              <w:rPr>
                <w:rFonts w:hint="eastAsia" w:ascii="宋体" w:hAnsi="宋体" w:eastAsia="宋体" w:cs="宋体"/>
                <w:color w:val="000000"/>
                <w:kern w:val="0"/>
                <w:sz w:val="24"/>
                <w:szCs w:val="24"/>
                <w:lang w:val="en-US" w:eastAsia="zh-CN" w:bidi="ar"/>
              </w:rPr>
              <w:t>声源</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 xml:space="preserve">室内声源总数。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③在室外靠近围护结构处产生的声压级</w:t>
            </w:r>
          </w:p>
          <w:p>
            <w:pPr>
              <w:pStyle w:val="101"/>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right="0" w:rightChars="0"/>
              <w:jc w:val="center"/>
              <w:textAlignment w:val="baseline"/>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drawing>
                <wp:inline distT="0" distB="0" distL="114300" distR="114300">
                  <wp:extent cx="1962150" cy="361950"/>
                  <wp:effectExtent l="0" t="0" r="0" b="0"/>
                  <wp:docPr id="51" name="图片 51" descr="1675519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1675519142(1)"/>
                          <pic:cNvPicPr>
                            <a:picLocks noChangeAspect="1"/>
                          </pic:cNvPicPr>
                        </pic:nvPicPr>
                        <pic:blipFill>
                          <a:blip r:embed="rId23"/>
                          <a:stretch>
                            <a:fillRect/>
                          </a:stretch>
                        </pic:blipFill>
                        <pic:spPr>
                          <a:xfrm>
                            <a:off x="0" y="0"/>
                            <a:ext cx="1962150" cy="3619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p2i</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 xml:space="preserve">靠近围护结构处室外 </w:t>
            </w:r>
            <w:r>
              <w:rPr>
                <w:rFonts w:hint="default" w:ascii="Times New Roman" w:hAnsi="Times New Roman" w:eastAsia="宋体" w:cs="Times New Roman"/>
                <w:color w:val="000000"/>
                <w:kern w:val="0"/>
                <w:sz w:val="24"/>
                <w:szCs w:val="24"/>
                <w:lang w:val="en-US" w:eastAsia="zh-CN" w:bidi="ar"/>
              </w:rPr>
              <w:t xml:space="preserve">N </w:t>
            </w:r>
            <w:r>
              <w:rPr>
                <w:rFonts w:hint="eastAsia" w:ascii="宋体" w:hAnsi="宋体" w:eastAsia="宋体" w:cs="宋体"/>
                <w:color w:val="000000"/>
                <w:kern w:val="0"/>
                <w:sz w:val="24"/>
                <w:szCs w:val="24"/>
                <w:lang w:val="en-US" w:eastAsia="zh-CN" w:bidi="ar"/>
              </w:rPr>
              <w:t xml:space="preserve">个声源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p1i</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 xml:space="preserve">靠近围护结构处室内 </w:t>
            </w:r>
            <w:r>
              <w:rPr>
                <w:rFonts w:hint="default" w:ascii="Times New Roman" w:hAnsi="Times New Roman" w:eastAsia="宋体" w:cs="Times New Roman"/>
                <w:color w:val="000000"/>
                <w:kern w:val="0"/>
                <w:sz w:val="24"/>
                <w:szCs w:val="24"/>
                <w:lang w:val="en-US" w:eastAsia="zh-CN" w:bidi="ar"/>
              </w:rPr>
              <w:t xml:space="preserve">N </w:t>
            </w:r>
            <w:r>
              <w:rPr>
                <w:rFonts w:hint="eastAsia" w:ascii="宋体" w:hAnsi="宋体" w:eastAsia="宋体" w:cs="宋体"/>
                <w:color w:val="000000"/>
                <w:kern w:val="0"/>
                <w:sz w:val="24"/>
                <w:szCs w:val="24"/>
                <w:lang w:val="en-US" w:eastAsia="zh-CN" w:bidi="ar"/>
              </w:rPr>
              <w:t xml:space="preserve">个声源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 xml:space="preserve">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default" w:ascii="Times New Roman" w:hAnsi="Times New Roman" w:eastAsia="宋体" w:cs="Times New Roman"/>
                <w:color w:val="000000"/>
                <w:kern w:val="0"/>
                <w:sz w:val="15"/>
                <w:szCs w:val="15"/>
                <w:lang w:val="en-US" w:eastAsia="zh-CN" w:bidi="ar"/>
              </w:rPr>
              <w:t>Li</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围护结构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倍频带的隔声量，</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④等效室外声级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将室外声源的声压级和透过面积换算成等效的室外声源，计算出中心位置位于透声面积（</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）处的等效声源的倍频带声功率级。</w:t>
            </w:r>
          </w:p>
          <w:p>
            <w:pPr>
              <w:jc w:val="center"/>
              <w:rPr>
                <w:rFonts w:hint="default"/>
                <w:lang w:val="en-US" w:eastAsia="zh-CN"/>
              </w:rPr>
            </w:pPr>
            <w:r>
              <w:rPr>
                <w:rFonts w:hint="default"/>
                <w:lang w:val="en-US" w:eastAsia="zh-CN"/>
              </w:rPr>
              <w:drawing>
                <wp:inline distT="0" distB="0" distL="114300" distR="114300">
                  <wp:extent cx="1885950" cy="361950"/>
                  <wp:effectExtent l="0" t="0" r="0" b="0"/>
                  <wp:docPr id="52" name="图片 52" descr="1675519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1675519195(1)"/>
                          <pic:cNvPicPr>
                            <a:picLocks noChangeAspect="1"/>
                          </pic:cNvPicPr>
                        </pic:nvPicPr>
                        <pic:blipFill>
                          <a:blip r:embed="rId24"/>
                          <a:stretch>
                            <a:fillRect/>
                          </a:stretch>
                        </pic:blipFill>
                        <pic:spPr>
                          <a:xfrm>
                            <a:off x="0" y="0"/>
                            <a:ext cx="1885950" cy="3619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w</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中心位置位于透声面积（</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）处的等效声源的倍频带声功率级，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p2</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靠近围护结构处室外声源的声压级，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透声面积，</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15"/>
                <w:szCs w:val="15"/>
                <w:lang w:val="en-US" w:eastAsia="zh-CN" w:bidi="ar"/>
              </w:rPr>
              <w:t>2</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）工业企业噪声计算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设第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 xml:space="preserve">个室外声源在预测点产生的 </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 xml:space="preserve">声级为 </w:t>
            </w: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Ai</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时间内该声源工作时间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为 </w:t>
            </w:r>
            <w:r>
              <w:rPr>
                <w:rFonts w:hint="default" w:ascii="Times New Roman" w:hAnsi="Times New Roman" w:eastAsia="宋体" w:cs="Times New Roman"/>
                <w:color w:val="000000"/>
                <w:kern w:val="0"/>
                <w:sz w:val="24"/>
                <w:szCs w:val="24"/>
                <w:lang w:val="en-US" w:eastAsia="zh-CN" w:bidi="ar"/>
              </w:rPr>
              <w:t>ti</w:t>
            </w:r>
            <w:r>
              <w:rPr>
                <w:rFonts w:hint="eastAsia" w:ascii="宋体" w:hAnsi="宋体" w:eastAsia="宋体" w:cs="宋体"/>
                <w:color w:val="000000"/>
                <w:kern w:val="0"/>
                <w:sz w:val="24"/>
                <w:szCs w:val="24"/>
                <w:lang w:val="en-US" w:eastAsia="zh-CN" w:bidi="ar"/>
              </w:rPr>
              <w:t xml:space="preserve">；第 </w:t>
            </w:r>
            <w:r>
              <w:rPr>
                <w:rFonts w:hint="default" w:ascii="Times New Roman" w:hAnsi="Times New Roman" w:eastAsia="宋体" w:cs="Times New Roman"/>
                <w:color w:val="000000"/>
                <w:kern w:val="0"/>
                <w:sz w:val="24"/>
                <w:szCs w:val="24"/>
                <w:lang w:val="en-US" w:eastAsia="zh-CN" w:bidi="ar"/>
              </w:rPr>
              <w:t xml:space="preserve">j </w:t>
            </w:r>
            <w:r>
              <w:rPr>
                <w:rFonts w:hint="eastAsia" w:ascii="宋体" w:hAnsi="宋体" w:eastAsia="宋体" w:cs="宋体"/>
                <w:color w:val="000000"/>
                <w:kern w:val="0"/>
                <w:sz w:val="24"/>
                <w:szCs w:val="24"/>
                <w:lang w:val="en-US" w:eastAsia="zh-CN" w:bidi="ar"/>
              </w:rPr>
              <w:t xml:space="preserve">个等效室外声源在预测点产生的 </w:t>
            </w:r>
            <w:r>
              <w:rPr>
                <w:rFonts w:hint="default" w:ascii="Times New Roman" w:hAnsi="Times New Roman" w:eastAsia="宋体" w:cs="Times New Roman"/>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 xml:space="preserve">声级为 </w:t>
            </w: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Aj</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时间内该声源工作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时间为 </w:t>
            </w:r>
            <w:r>
              <w:rPr>
                <w:rFonts w:hint="default" w:ascii="Times New Roman" w:hAnsi="Times New Roman" w:eastAsia="宋体" w:cs="Times New Roman"/>
                <w:color w:val="000000"/>
                <w:kern w:val="0"/>
                <w:sz w:val="24"/>
                <w:szCs w:val="24"/>
                <w:lang w:val="en-US" w:eastAsia="zh-CN" w:bidi="ar"/>
              </w:rPr>
              <w:t>tj</w:t>
            </w:r>
            <w:r>
              <w:rPr>
                <w:rFonts w:hint="eastAsia" w:ascii="宋体" w:hAnsi="宋体" w:eastAsia="宋体" w:cs="宋体"/>
                <w:color w:val="000000"/>
                <w:kern w:val="0"/>
                <w:sz w:val="24"/>
                <w:szCs w:val="24"/>
                <w:lang w:val="en-US" w:eastAsia="zh-CN" w:bidi="ar"/>
              </w:rPr>
              <w:t>，则拟建工程声源对预测点产生的贡献值（</w:t>
            </w: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eqg</w:t>
            </w:r>
            <w:r>
              <w:rPr>
                <w:rFonts w:hint="eastAsia" w:ascii="宋体" w:hAnsi="宋体" w:eastAsia="宋体" w:cs="宋体"/>
                <w:color w:val="000000"/>
                <w:kern w:val="0"/>
                <w:sz w:val="24"/>
                <w:szCs w:val="24"/>
                <w:lang w:val="en-US" w:eastAsia="zh-CN" w:bidi="ar"/>
              </w:rPr>
              <w:t>）为：</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714625" cy="657225"/>
                  <wp:effectExtent l="0" t="0" r="9525" b="9525"/>
                  <wp:docPr id="53"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0" descr="IMG_256"/>
                          <pic:cNvPicPr>
                            <a:picLocks noChangeAspect="1"/>
                          </pic:cNvPicPr>
                        </pic:nvPicPr>
                        <pic:blipFill>
                          <a:blip r:embed="rId25"/>
                          <a:stretch>
                            <a:fillRect/>
                          </a:stretch>
                        </pic:blipFill>
                        <pic:spPr>
                          <a:xfrm>
                            <a:off x="0" y="0"/>
                            <a:ext cx="2714625" cy="6572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eqg</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建设项目声源在预测点产生的噪声贡献值，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用于计算等效声级的时间，</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 xml:space="preserve">室外声源个数；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default" w:ascii="Times New Roman" w:hAnsi="Times New Roman" w:eastAsia="宋体" w:cs="Times New Roman"/>
                <w:color w:val="000000"/>
                <w:kern w:val="0"/>
                <w:sz w:val="15"/>
                <w:szCs w:val="15"/>
                <w:lang w:val="en-US" w:eastAsia="zh-CN" w:bidi="ar"/>
              </w:rPr>
              <w:t>i</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 </w:t>
            </w:r>
            <w:r>
              <w:rPr>
                <w:rFonts w:hint="default" w:ascii="Times New Roman" w:hAnsi="Times New Roman" w:eastAsia="宋体" w:cs="Times New Roman"/>
                <w:color w:val="000000"/>
                <w:kern w:val="0"/>
                <w:sz w:val="24"/>
                <w:szCs w:val="24"/>
                <w:lang w:val="en-US" w:eastAsia="zh-CN" w:bidi="ar"/>
              </w:rPr>
              <w:t xml:space="preserve">i </w:t>
            </w:r>
            <w:r>
              <w:rPr>
                <w:rFonts w:hint="eastAsia" w:ascii="宋体" w:hAnsi="宋体" w:eastAsia="宋体" w:cs="宋体"/>
                <w:color w:val="000000"/>
                <w:kern w:val="0"/>
                <w:sz w:val="24"/>
                <w:szCs w:val="24"/>
                <w:lang w:val="en-US" w:eastAsia="zh-CN" w:bidi="ar"/>
              </w:rPr>
              <w:t>声源工作时间，</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 xml:space="preserve">等效室外声源个数；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w:t>
            </w:r>
            <w:r>
              <w:rPr>
                <w:rFonts w:hint="default" w:ascii="Times New Roman" w:hAnsi="Times New Roman" w:eastAsia="宋体" w:cs="Times New Roman"/>
                <w:color w:val="000000"/>
                <w:kern w:val="0"/>
                <w:sz w:val="15"/>
                <w:szCs w:val="15"/>
                <w:lang w:val="en-US" w:eastAsia="zh-CN" w:bidi="ar"/>
              </w:rPr>
              <w:t>j</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在 </w:t>
            </w:r>
            <w:r>
              <w:rPr>
                <w:rFonts w:hint="default" w:ascii="Times New Roman" w:hAnsi="Times New Roman" w:eastAsia="宋体" w:cs="Times New Roman"/>
                <w:color w:val="000000"/>
                <w:kern w:val="0"/>
                <w:sz w:val="24"/>
                <w:szCs w:val="24"/>
                <w:lang w:val="en-US" w:eastAsia="zh-CN" w:bidi="ar"/>
              </w:rPr>
              <w:t xml:space="preserve">T </w:t>
            </w:r>
            <w:r>
              <w:rPr>
                <w:rFonts w:hint="eastAsia" w:ascii="宋体" w:hAnsi="宋体" w:eastAsia="宋体" w:cs="宋体"/>
                <w:color w:val="000000"/>
                <w:kern w:val="0"/>
                <w:sz w:val="24"/>
                <w:szCs w:val="24"/>
                <w:lang w:val="en-US" w:eastAsia="zh-CN" w:bidi="ar"/>
              </w:rPr>
              <w:t xml:space="preserve">时间内 </w:t>
            </w:r>
            <w:r>
              <w:rPr>
                <w:rFonts w:hint="default" w:ascii="Times New Roman" w:hAnsi="Times New Roman" w:eastAsia="宋体" w:cs="Times New Roman"/>
                <w:color w:val="000000"/>
                <w:kern w:val="0"/>
                <w:sz w:val="24"/>
                <w:szCs w:val="24"/>
                <w:lang w:val="en-US" w:eastAsia="zh-CN" w:bidi="ar"/>
              </w:rPr>
              <w:t xml:space="preserve">j </w:t>
            </w:r>
            <w:r>
              <w:rPr>
                <w:rFonts w:hint="eastAsia" w:ascii="宋体" w:hAnsi="宋体" w:eastAsia="宋体" w:cs="宋体"/>
                <w:color w:val="000000"/>
                <w:kern w:val="0"/>
                <w:sz w:val="24"/>
                <w:szCs w:val="24"/>
                <w:lang w:val="en-US" w:eastAsia="zh-CN" w:bidi="ar"/>
              </w:rPr>
              <w:t>声源工作时间，</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）预测值计算</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2628900" cy="438150"/>
                  <wp:effectExtent l="0" t="0" r="0" b="0"/>
                  <wp:docPr id="54"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1" descr="IMG_256"/>
                          <pic:cNvPicPr>
                            <a:picLocks noChangeAspect="1"/>
                          </pic:cNvPicPr>
                        </pic:nvPicPr>
                        <pic:blipFill>
                          <a:blip r:embed="rId26"/>
                          <a:stretch>
                            <a:fillRect/>
                          </a:stretch>
                        </pic:blipFill>
                        <pic:spPr>
                          <a:xfrm>
                            <a:off x="0" y="0"/>
                            <a:ext cx="2628900" cy="4381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式中：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eqg</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建设项目声源在预测点的等效声级贡献值，</w:t>
            </w:r>
            <w:r>
              <w:rPr>
                <w:rFonts w:hint="default" w:ascii="Times New Roman" w:hAnsi="Times New Roman" w:eastAsia="宋体" w:cs="Times New Roman"/>
                <w:color w:val="000000"/>
                <w:kern w:val="0"/>
                <w:sz w:val="24"/>
                <w:szCs w:val="24"/>
                <w:lang w:val="en-US" w:eastAsia="zh-CN" w:bidi="ar"/>
              </w:rPr>
              <w:t>dB(A)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w:t>
            </w:r>
            <w:r>
              <w:rPr>
                <w:rFonts w:hint="default" w:ascii="Times New Roman" w:hAnsi="Times New Roman" w:eastAsia="宋体" w:cs="Times New Roman"/>
                <w:color w:val="000000"/>
                <w:kern w:val="0"/>
                <w:sz w:val="15"/>
                <w:szCs w:val="15"/>
                <w:lang w:val="en-US" w:eastAsia="zh-CN" w:bidi="ar"/>
              </w:rPr>
              <w:t>eqb</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预测点的背景值，</w:t>
            </w:r>
            <w:r>
              <w:rPr>
                <w:rFonts w:hint="default" w:ascii="Times New Roman" w:hAnsi="Times New Roman" w:eastAsia="宋体" w:cs="Times New Roman"/>
                <w:color w:val="000000"/>
                <w:kern w:val="0"/>
                <w:sz w:val="24"/>
                <w:szCs w:val="24"/>
                <w:lang w:val="en-US" w:eastAsia="zh-CN" w:bidi="ar"/>
              </w:rPr>
              <w:t>dB(A)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）预测结果及评价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根据上述公式进行预测，本项目噪声预测结果见表</w:t>
            </w:r>
            <w:r>
              <w:rPr>
                <w:rFonts w:hint="default" w:ascii="Times New Roman" w:hAnsi="Times New Roman" w:eastAsia="宋体" w:cs="Times New Roman"/>
                <w:color w:val="000000"/>
                <w:kern w:val="0"/>
                <w:sz w:val="24"/>
                <w:szCs w:val="24"/>
                <w:lang w:val="en-US" w:eastAsia="zh-CN" w:bidi="ar"/>
              </w:rPr>
              <w:t>4</w:t>
            </w:r>
            <w:r>
              <w:rPr>
                <w:rFonts w:hint="eastAsia" w:ascii="Times New Roman" w:hAnsi="Times New Roman" w:eastAsia="宋体" w:cs="Times New Roman"/>
                <w:color w:val="000000"/>
                <w:kern w:val="0"/>
                <w:sz w:val="24"/>
                <w:szCs w:val="24"/>
                <w:lang w:val="en-US" w:eastAsia="zh-CN" w:bidi="ar"/>
              </w:rPr>
              <w:t>-</w:t>
            </w:r>
            <w:r>
              <w:rPr>
                <w:rFonts w:hint="eastAsia" w:cs="Times New Roman"/>
                <w:color w:val="000000"/>
                <w:kern w:val="0"/>
                <w:sz w:val="24"/>
                <w:szCs w:val="24"/>
                <w:lang w:val="en-US" w:eastAsia="zh-CN" w:bidi="ar"/>
              </w:rPr>
              <w:t>14</w:t>
            </w:r>
            <w:r>
              <w:rPr>
                <w:rFonts w:hint="eastAsia" w:ascii="宋体" w:hAnsi="宋体" w:eastAsia="宋体" w:cs="宋体"/>
                <w:color w:val="000000"/>
                <w:kern w:val="0"/>
                <w:sz w:val="24"/>
                <w:szCs w:val="24"/>
                <w:lang w:val="en-US" w:eastAsia="zh-CN" w:bidi="ar"/>
              </w:rPr>
              <w:t>。</w:t>
            </w:r>
          </w:p>
          <w:p>
            <w:pPr>
              <w:pStyle w:val="101"/>
              <w:keepNext w:val="0"/>
              <w:keepLines w:val="0"/>
              <w:pageBreakBefore w:val="0"/>
              <w:widowControl w:val="0"/>
              <w:numPr>
                <w:ilvl w:val="0"/>
                <w:numId w:val="0"/>
              </w:numPr>
              <w:kinsoku/>
              <w:wordWrap/>
              <w:overflowPunct/>
              <w:topLinePunct w:val="0"/>
              <w:autoSpaceDE/>
              <w:autoSpaceDN/>
              <w:bidi w:val="0"/>
              <w:adjustRightInd/>
              <w:snapToGrid/>
              <w:spacing w:before="0" w:line="240" w:lineRule="auto"/>
              <w:ind w:leftChars="0" w:right="0" w:rightChars="0"/>
              <w:jc w:val="center"/>
              <w:textAlignment w:val="baseline"/>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表4</w:t>
            </w:r>
            <w:r>
              <w:rPr>
                <w:rFonts w:hint="eastAsia" w:ascii="Times New Roman" w:hAnsi="Times New Roman" w:cs="Times New Roman"/>
                <w:color w:val="auto"/>
                <w:sz w:val="21"/>
                <w:szCs w:val="21"/>
                <w:highlight w:val="none"/>
                <w:lang w:val="en-US" w:eastAsia="zh-CN"/>
              </w:rPr>
              <w:t>-</w:t>
            </w:r>
            <w:r>
              <w:rPr>
                <w:rFonts w:hint="eastAsia" w:ascii="Times New Roman" w:cs="Times New Roman"/>
                <w:color w:val="auto"/>
                <w:sz w:val="21"/>
                <w:szCs w:val="21"/>
                <w:highlight w:val="none"/>
                <w:lang w:val="en-US" w:eastAsia="zh-CN"/>
              </w:rPr>
              <w:t>14</w:t>
            </w:r>
            <w:r>
              <w:rPr>
                <w:rFonts w:hint="default" w:ascii="Times New Roman" w:hAnsi="Times New Roman" w:cs="Times New Roman"/>
                <w:color w:val="auto"/>
                <w:sz w:val="21"/>
                <w:szCs w:val="21"/>
                <w:highlight w:val="none"/>
              </w:rPr>
              <w:t xml:space="preserve"> 厂界环境噪声预测结果</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642"/>
              <w:gridCol w:w="800"/>
              <w:gridCol w:w="1139"/>
              <w:gridCol w:w="825"/>
              <w:gridCol w:w="1198"/>
              <w:gridCol w:w="1352"/>
              <w:gridCol w:w="11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698"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预测方位</w:t>
                  </w:r>
                </w:p>
              </w:tc>
              <w:tc>
                <w:tcPr>
                  <w:tcW w:w="1552" w:type="pct"/>
                  <w:gridSpan w:val="3"/>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lang w:val="en-US" w:eastAsia="zh-CN"/>
                    </w:rPr>
                    <w:t>最大值点</w:t>
                  </w:r>
                  <w:r>
                    <w:rPr>
                      <w:rFonts w:hint="default" w:ascii="Times New Roman" w:hAnsi="Times New Roman" w:eastAsia="宋体" w:cs="Times New Roman"/>
                      <w:b/>
                      <w:color w:val="auto"/>
                      <w:sz w:val="21"/>
                      <w:szCs w:val="21"/>
                    </w:rPr>
                    <w:t>空间相对位置/m</w:t>
                  </w:r>
                </w:p>
              </w:tc>
              <w:tc>
                <w:tcPr>
                  <w:tcW w:w="496"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时段</w:t>
                  </w:r>
                </w:p>
              </w:tc>
              <w:tc>
                <w:tcPr>
                  <w:tcW w:w="720"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贡献值（dB(A)）</w:t>
                  </w:r>
                </w:p>
              </w:tc>
              <w:tc>
                <w:tcPr>
                  <w:tcW w:w="813"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标准限值（dB(A)）</w:t>
                  </w:r>
                </w:p>
              </w:tc>
              <w:tc>
                <w:tcPr>
                  <w:tcW w:w="718"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386"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X</w:t>
                  </w:r>
                </w:p>
              </w:tc>
              <w:tc>
                <w:tcPr>
                  <w:tcW w:w="481"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Y</w:t>
                  </w:r>
                </w:p>
              </w:tc>
              <w:tc>
                <w:tcPr>
                  <w:tcW w:w="685" w:type="pct"/>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Z</w:t>
                  </w:r>
                </w:p>
              </w:tc>
              <w:tc>
                <w:tcPr>
                  <w:tcW w:w="496"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720"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813"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c>
                <w:tcPr>
                  <w:tcW w:w="718" w:type="pct"/>
                  <w:vMerge w:val="continue"/>
                  <w:tcBorders>
                    <w:tl2br w:val="nil"/>
                    <w:tr2bl w:val="nil"/>
                  </w:tcBorders>
                  <w:shd w:val="clear" w:color="auto" w:fill="FFFFFF"/>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东侧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2.4</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44.6</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东侧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2.4</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44.6</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-4.1</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39.7</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-4.1</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39.7</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西侧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-5.9</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3.8</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46.2</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西侧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-5.9</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3.8</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46.2</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restar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2.7</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11.2</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昼间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53</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65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jc w:val="center"/>
              </w:trPr>
              <w:tc>
                <w:tcPr>
                  <w:tcW w:w="698" w:type="pct"/>
                  <w:vMerge w:val="continue"/>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北侧</w:t>
                  </w:r>
                </w:p>
              </w:tc>
              <w:tc>
                <w:tcPr>
                  <w:tcW w:w="38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2.7</w:t>
                  </w:r>
                </w:p>
              </w:tc>
              <w:tc>
                <w:tcPr>
                  <w:tcW w:w="481"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11.2</w:t>
                  </w:r>
                </w:p>
              </w:tc>
              <w:tc>
                <w:tcPr>
                  <w:tcW w:w="685"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1.5</w:t>
                  </w:r>
                </w:p>
              </w:tc>
              <w:tc>
                <w:tcPr>
                  <w:tcW w:w="496"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夜间</w:t>
                  </w:r>
                </w:p>
              </w:tc>
              <w:tc>
                <w:tcPr>
                  <w:tcW w:w="720"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53</w:t>
                  </w:r>
                </w:p>
              </w:tc>
              <w:tc>
                <w:tcPr>
                  <w:tcW w:w="813"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55</w:t>
                  </w:r>
                </w:p>
              </w:tc>
              <w:tc>
                <w:tcPr>
                  <w:tcW w:w="718" w:type="pct"/>
                  <w:tcBorders>
                    <w:tl2br w:val="nil"/>
                    <w:tr2bl w:val="nil"/>
                  </w:tcBorders>
                  <w:shd w:val="clear" w:color="auto" w:fill="FFFFFF"/>
                  <w:noWrap w:val="0"/>
                  <w:vAlign w:val="center"/>
                </w:tcPr>
                <w:p>
                  <w:pPr>
                    <w:jc w:val="center"/>
                    <w:rPr>
                      <w:rFonts w:hint="default" w:ascii="Times New Roman" w:hAnsi="Times New Roman" w:cs="Times New Roman"/>
                      <w:color w:val="auto"/>
                      <w:sz w:val="21"/>
                      <w:szCs w:val="21"/>
                    </w:rPr>
                  </w:pPr>
                  <w:r>
                    <w:rPr>
                      <w:rFonts w:hint="default" w:ascii="Times New Roman" w:hAnsi="Times New Roman" w:eastAsia="Arial" w:cs="Times New Roman"/>
                      <w:color w:val="auto"/>
                      <w:sz w:val="21"/>
                      <w:szCs w:val="21"/>
                    </w:rPr>
                    <w:t>达标</w:t>
                  </w:r>
                </w:p>
              </w:tc>
            </w:tr>
          </w:tbl>
          <w:p>
            <w:pPr>
              <w:spacing w:before="156" w:beforeLines="50" w:line="360" w:lineRule="auto"/>
              <w:ind w:firstLine="480" w:firstLineChars="200"/>
              <w:rPr>
                <w:color w:val="auto"/>
                <w:sz w:val="24"/>
              </w:rPr>
            </w:pPr>
            <w:r>
              <w:rPr>
                <w:color w:val="000000"/>
                <w:sz w:val="24"/>
              </w:rPr>
              <w:t>由</w:t>
            </w:r>
            <w:r>
              <w:rPr>
                <w:rFonts w:hint="eastAsia"/>
                <w:color w:val="000000"/>
                <w:sz w:val="24"/>
              </w:rPr>
              <w:t>上表</w:t>
            </w:r>
            <w:r>
              <w:rPr>
                <w:color w:val="000000"/>
                <w:sz w:val="24"/>
              </w:rPr>
              <w:t>可知，项目投入运营后，通过选用低噪声设备，加强对机械设备运行噪声采取相应的隔声、减振等防护措施。设备均设置于室内，经室内墙壁吸声处理后，噪声对厂界贡献值较小，噪声排放可满足《工业企业厂界环境噪声排放标准》（GB12348-2008）中</w:t>
            </w:r>
            <w:r>
              <w:rPr>
                <w:rFonts w:hint="eastAsia"/>
                <w:color w:val="000000"/>
                <w:sz w:val="24"/>
                <w:lang w:val="en-US" w:eastAsia="zh-CN"/>
              </w:rPr>
              <w:t>3</w:t>
            </w:r>
            <w:r>
              <w:rPr>
                <w:rFonts w:hint="eastAsia"/>
                <w:color w:val="000000"/>
                <w:sz w:val="24"/>
              </w:rPr>
              <w:t>类</w:t>
            </w:r>
            <w:r>
              <w:rPr>
                <w:color w:val="000000"/>
                <w:sz w:val="24"/>
              </w:rPr>
              <w:t>标准</w:t>
            </w:r>
            <w:r>
              <w:rPr>
                <w:rFonts w:hint="eastAsia"/>
                <w:color w:val="000000"/>
                <w:sz w:val="24"/>
              </w:rPr>
              <w:t>限值。</w:t>
            </w:r>
            <w:r>
              <w:rPr>
                <w:color w:val="auto"/>
                <w:sz w:val="24"/>
              </w:rPr>
              <w:t>因此项目运行后产生的噪声不会对区域声环境产生明显不利影响。</w:t>
            </w:r>
          </w:p>
          <w:p>
            <w:pPr>
              <w:spacing w:line="360" w:lineRule="auto"/>
              <w:ind w:firstLine="480" w:firstLineChars="200"/>
              <w:rPr>
                <w:color w:val="000000"/>
                <w:sz w:val="24"/>
              </w:rPr>
            </w:pPr>
            <w:r>
              <w:rPr>
                <w:color w:val="000000"/>
                <w:sz w:val="24"/>
              </w:rPr>
              <w:t>为进一步减小项目噪声对周围环境的影响，建设单位必须从源头上进一步削减噪声源强，采取的噪声措施主要有：</w:t>
            </w:r>
          </w:p>
          <w:p>
            <w:pPr>
              <w:spacing w:line="360" w:lineRule="auto"/>
              <w:ind w:firstLine="480" w:firstLineChars="200"/>
              <w:rPr>
                <w:color w:val="000000"/>
                <w:sz w:val="24"/>
              </w:rPr>
            </w:pPr>
            <w:r>
              <w:rPr>
                <w:color w:val="000000"/>
                <w:sz w:val="24"/>
              </w:rPr>
              <w:t>①生产设备设置防振器、隔振垫、吸声体，如在设备的底部加减振垫，在设备的四周可开设一定宽度和深度的沟槽，里面填充松软物质，用来隔离振动的传递；</w:t>
            </w:r>
          </w:p>
          <w:p>
            <w:pPr>
              <w:spacing w:line="360" w:lineRule="auto"/>
              <w:ind w:firstLine="480" w:firstLineChars="200"/>
              <w:rPr>
                <w:color w:val="000000"/>
                <w:sz w:val="24"/>
              </w:rPr>
            </w:pPr>
            <w:r>
              <w:rPr>
                <w:color w:val="000000"/>
                <w:sz w:val="24"/>
              </w:rPr>
              <w:t>②企业应定期对生产设备进行维修和保养，确保设备处于良好的运转状态，杜绝因设备不正常运转时产生的高噪声现象，做到文明生产；</w:t>
            </w:r>
          </w:p>
          <w:p>
            <w:pPr>
              <w:spacing w:line="360" w:lineRule="auto"/>
              <w:ind w:firstLine="480" w:firstLineChars="200"/>
              <w:rPr>
                <w:color w:val="000000"/>
                <w:sz w:val="24"/>
              </w:rPr>
            </w:pPr>
            <w:r>
              <w:rPr>
                <w:color w:val="000000"/>
                <w:sz w:val="24"/>
              </w:rPr>
              <w:t>③为减轻项目原辅材料运输过程中车辆噪声对其集中通过区域的影响，建议厂方对运输车辆加强管理和维护，保持车辆有良好的车况，要求机动车驾驶人员经过噪声敏感区地段限制车速，禁止鸣笛，尽量避免夜间运输；</w:t>
            </w:r>
          </w:p>
          <w:p>
            <w:pPr>
              <w:spacing w:line="360" w:lineRule="auto"/>
              <w:ind w:firstLine="480" w:firstLineChars="200"/>
              <w:rPr>
                <w:color w:val="000000"/>
                <w:sz w:val="24"/>
              </w:rPr>
            </w:pPr>
            <w:r>
              <w:rPr>
                <w:color w:val="000000"/>
                <w:sz w:val="24"/>
              </w:rPr>
              <w:t>④合理布局，尽量将高噪声设备置于生产</w:t>
            </w:r>
            <w:r>
              <w:rPr>
                <w:rFonts w:hint="eastAsia"/>
                <w:color w:val="000000"/>
                <w:sz w:val="24"/>
                <w:lang w:eastAsia="zh-CN"/>
              </w:rPr>
              <w:t>封闭</w:t>
            </w:r>
            <w:r>
              <w:rPr>
                <w:color w:val="000000"/>
                <w:sz w:val="24"/>
              </w:rPr>
              <w:t>车间，厂界四周设置绿化带，以降低噪声的传播和干扰，及厂界噪声；</w:t>
            </w:r>
          </w:p>
          <w:p>
            <w:pPr>
              <w:spacing w:line="360" w:lineRule="auto"/>
              <w:ind w:firstLine="480" w:firstLineChars="200"/>
              <w:rPr>
                <w:color w:val="000000"/>
                <w:sz w:val="24"/>
              </w:rPr>
            </w:pPr>
            <w:r>
              <w:rPr>
                <w:color w:val="000000"/>
                <w:sz w:val="24"/>
              </w:rPr>
              <w:t>⑤加强管理，提高职工的环保意识教育，提倡文明生产，降低人为噪声。</w:t>
            </w:r>
          </w:p>
          <w:p>
            <w:pPr>
              <w:spacing w:line="360" w:lineRule="auto"/>
              <w:ind w:firstLine="480" w:firstLineChars="200"/>
              <w:rPr>
                <w:rFonts w:hint="default" w:ascii="Times New Roman" w:hAnsi="Times New Roman" w:cs="Times New Roman"/>
                <w:color w:val="auto"/>
                <w:sz w:val="24"/>
                <w:szCs w:val="24"/>
              </w:rPr>
            </w:pPr>
            <w:r>
              <w:rPr>
                <w:rFonts w:hint="eastAsia" w:ascii="宋体" w:hAnsi="宋体"/>
                <w:color w:val="auto"/>
                <w:sz w:val="24"/>
              </w:rPr>
              <w:t>采</w:t>
            </w:r>
            <w:r>
              <w:rPr>
                <w:rFonts w:hint="default" w:ascii="Times New Roman" w:hAnsi="Times New Roman" w:cs="Times New Roman"/>
                <w:color w:val="auto"/>
                <w:sz w:val="24"/>
                <w:szCs w:val="24"/>
              </w:rPr>
              <w:t>取上述措施后，</w:t>
            </w:r>
            <w:r>
              <w:rPr>
                <w:rFonts w:hint="eastAsia" w:cs="Times New Roman"/>
                <w:color w:val="auto"/>
                <w:sz w:val="24"/>
                <w:szCs w:val="24"/>
                <w:lang w:eastAsia="zh-CN"/>
              </w:rPr>
              <w:t>噪声环境</w:t>
            </w:r>
            <w:r>
              <w:rPr>
                <w:rFonts w:hint="default" w:ascii="Times New Roman" w:hAnsi="Times New Roman" w:cs="Times New Roman"/>
                <w:color w:val="auto"/>
                <w:sz w:val="24"/>
                <w:szCs w:val="24"/>
              </w:rPr>
              <w:t>可满足《工业企业厂界环境噪声排放标准》（GB12348-2008）中厂界外</w:t>
            </w:r>
            <w:r>
              <w:rPr>
                <w:rFonts w:hint="eastAsia" w:cs="Times New Roman"/>
                <w:color w:val="auto"/>
                <w:sz w:val="24"/>
                <w:szCs w:val="24"/>
                <w:lang w:val="en-US" w:eastAsia="zh-CN"/>
              </w:rPr>
              <w:t>3</w:t>
            </w:r>
            <w:r>
              <w:rPr>
                <w:rFonts w:hint="default" w:ascii="Times New Roman" w:hAnsi="Times New Roman" w:cs="Times New Roman"/>
                <w:color w:val="auto"/>
                <w:sz w:val="24"/>
                <w:szCs w:val="24"/>
              </w:rPr>
              <w:t>类区限值标准</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对周边环境影响较小。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cs="Times New Roman"/>
                <w:b w:val="0"/>
                <w:bCs/>
                <w:sz w:val="24"/>
                <w:szCs w:val="24"/>
                <w:lang w:val="en-US" w:eastAsia="zh-CN"/>
              </w:rPr>
            </w:pPr>
            <w:r>
              <w:rPr>
                <w:rFonts w:hint="eastAsia" w:cs="Times New Roman"/>
                <w:b w:val="0"/>
                <w:bCs/>
                <w:sz w:val="24"/>
                <w:szCs w:val="24"/>
                <w:lang w:val="en-US" w:eastAsia="zh-CN"/>
              </w:rPr>
              <w:t>（3）</w:t>
            </w:r>
            <w:r>
              <w:rPr>
                <w:rFonts w:hint="eastAsia" w:ascii="Times New Roman" w:hAnsi="Times New Roman" w:cs="Times New Roman"/>
                <w:b w:val="0"/>
                <w:bCs/>
                <w:sz w:val="24"/>
                <w:szCs w:val="24"/>
                <w:lang w:val="en-US" w:eastAsia="zh-CN"/>
              </w:rPr>
              <w:t>声环境监测计划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snapToGrid w:val="0"/>
                <w:sz w:val="24"/>
                <w:szCs w:val="24"/>
              </w:rPr>
              <w:t>根据《排污单位自行监测技术指南 总则》（HJ819-2017），本项目属于“非重点排污单位”，厂界环境噪声每季度至少开展一次监测。</w:t>
            </w:r>
            <w:r>
              <w:rPr>
                <w:rFonts w:hint="default" w:ascii="Times New Roman" w:hAnsi="Times New Roman" w:cs="Times New Roman"/>
                <w:kern w:val="0"/>
                <w:sz w:val="24"/>
                <w:szCs w:val="24"/>
              </w:rPr>
              <w:t>本项目噪声自行监测计划见表4-1</w:t>
            </w:r>
            <w:r>
              <w:rPr>
                <w:rFonts w:hint="eastAsia" w:cs="Times New Roman"/>
                <w:kern w:val="0"/>
                <w:sz w:val="24"/>
                <w:szCs w:val="24"/>
                <w:lang w:val="en-US" w:eastAsia="zh-CN"/>
              </w:rPr>
              <w:t>5</w:t>
            </w:r>
            <w:r>
              <w:rPr>
                <w:rFonts w:hint="default" w:ascii="Times New Roman" w:hAnsi="Times New Roman"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
                <w:bCs/>
                <w:snapToGrid w:val="0"/>
                <w:spacing w:val="4"/>
                <w:kern w:val="18"/>
                <w:szCs w:val="21"/>
              </w:rPr>
            </w:pPr>
            <w:r>
              <w:rPr>
                <w:rFonts w:hint="default" w:ascii="Times New Roman" w:hAnsi="Times New Roman" w:cs="Times New Roman"/>
                <w:b/>
                <w:bCs/>
                <w:snapToGrid w:val="0"/>
                <w:spacing w:val="4"/>
                <w:kern w:val="18"/>
                <w:szCs w:val="21"/>
              </w:rPr>
              <w:t>表4-1</w:t>
            </w:r>
            <w:r>
              <w:rPr>
                <w:rFonts w:hint="eastAsia" w:cs="Times New Roman"/>
                <w:b/>
                <w:bCs/>
                <w:snapToGrid w:val="0"/>
                <w:spacing w:val="4"/>
                <w:kern w:val="18"/>
                <w:szCs w:val="21"/>
                <w:lang w:val="en-US" w:eastAsia="zh-CN"/>
              </w:rPr>
              <w:t>5</w:t>
            </w:r>
            <w:r>
              <w:rPr>
                <w:rFonts w:hint="default" w:ascii="Times New Roman" w:hAnsi="Times New Roman" w:cs="Times New Roman"/>
                <w:b/>
                <w:bCs/>
                <w:snapToGrid w:val="0"/>
                <w:spacing w:val="4"/>
                <w:kern w:val="18"/>
                <w:szCs w:val="21"/>
              </w:rPr>
              <w:t xml:space="preserve">  自行监测计划表</w:t>
            </w:r>
          </w:p>
          <w:tbl>
            <w:tblPr>
              <w:tblStyle w:val="27"/>
              <w:tblW w:w="4998" w:type="pct"/>
              <w:jc w:val="center"/>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Layout w:type="autofit"/>
              <w:tblCellMar>
                <w:top w:w="15" w:type="dxa"/>
                <w:left w:w="15" w:type="dxa"/>
                <w:bottom w:w="15" w:type="dxa"/>
                <w:right w:w="15" w:type="dxa"/>
              </w:tblCellMar>
            </w:tblPr>
            <w:tblGrid>
              <w:gridCol w:w="1179"/>
              <w:gridCol w:w="1227"/>
              <w:gridCol w:w="1708"/>
              <w:gridCol w:w="1134"/>
              <w:gridCol w:w="3061"/>
            </w:tblGrid>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PrEx>
              <w:trPr>
                <w:trHeight w:val="218" w:hRule="atLeast"/>
                <w:jc w:val="center"/>
              </w:trPr>
              <w:tc>
                <w:tcPr>
                  <w:tcW w:w="709"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污染源</w:t>
                  </w:r>
                </w:p>
              </w:tc>
              <w:tc>
                <w:tcPr>
                  <w:tcW w:w="738"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监测点位</w:t>
                  </w:r>
                </w:p>
              </w:tc>
              <w:tc>
                <w:tcPr>
                  <w:tcW w:w="1027"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监测指标</w:t>
                  </w:r>
                </w:p>
              </w:tc>
              <w:tc>
                <w:tcPr>
                  <w:tcW w:w="682"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监测频次</w:t>
                  </w:r>
                </w:p>
              </w:tc>
              <w:tc>
                <w:tcPr>
                  <w:tcW w:w="1841" w:type="pct"/>
                  <w:tcBorders>
                    <w:bottom w:val="single" w:color="000000" w:sz="12" w:space="0"/>
                  </w:tcBorders>
                  <w:noWrap w:val="0"/>
                  <w:vAlign w:val="center"/>
                </w:tcPr>
                <w:p>
                  <w:pPr>
                    <w:widowControl/>
                    <w:jc w:val="center"/>
                    <w:textAlignment w:val="center"/>
                    <w:rPr>
                      <w:rFonts w:hint="default" w:ascii="Times New Roman" w:hAnsi="Times New Roman" w:cs="Times New Roman"/>
                      <w:b/>
                      <w:szCs w:val="21"/>
                    </w:rPr>
                  </w:pPr>
                  <w:r>
                    <w:rPr>
                      <w:rFonts w:hint="default" w:ascii="Times New Roman" w:hAnsi="Times New Roman" w:cs="Times New Roman"/>
                      <w:b/>
                      <w:kern w:val="0"/>
                      <w:szCs w:val="21"/>
                      <w:lang w:bidi="ar"/>
                    </w:rPr>
                    <w:t>执行排放标准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000000" w:sz="4" w:space="0"/>
                </w:tblBorders>
                <w:tblCellMar>
                  <w:top w:w="15" w:type="dxa"/>
                  <w:left w:w="15" w:type="dxa"/>
                  <w:bottom w:w="15" w:type="dxa"/>
                  <w:right w:w="15" w:type="dxa"/>
                </w:tblCellMar>
              </w:tblPrEx>
              <w:trPr>
                <w:trHeight w:val="772" w:hRule="atLeast"/>
                <w:jc w:val="center"/>
              </w:trPr>
              <w:tc>
                <w:tcPr>
                  <w:tcW w:w="709"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噪声</w:t>
                  </w:r>
                </w:p>
              </w:tc>
              <w:tc>
                <w:tcPr>
                  <w:tcW w:w="738"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厂界</w:t>
                  </w:r>
                </w:p>
              </w:tc>
              <w:tc>
                <w:tcPr>
                  <w:tcW w:w="1027"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等效连续A声级</w:t>
                  </w:r>
                </w:p>
              </w:tc>
              <w:tc>
                <w:tcPr>
                  <w:tcW w:w="682"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1次/季度</w:t>
                  </w:r>
                </w:p>
              </w:tc>
              <w:tc>
                <w:tcPr>
                  <w:tcW w:w="1841" w:type="pct"/>
                  <w:noWrap w:val="0"/>
                  <w:vAlign w:val="center"/>
                </w:tcPr>
                <w:p>
                  <w:pPr>
                    <w:widowControl/>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《工业企业厂界环境噪声排放标准》(GB12348-2008)标准</w:t>
                  </w:r>
                  <w:r>
                    <w:rPr>
                      <w:rFonts w:hint="eastAsia" w:ascii="Times New Roman" w:hAnsi="Times New Roman" w:eastAsia="宋体" w:cs="Times New Roman"/>
                      <w:kern w:val="0"/>
                      <w:szCs w:val="21"/>
                      <w:lang w:val="en-US" w:eastAsia="zh-CN" w:bidi="ar"/>
                    </w:rPr>
                    <w:t>3</w:t>
                  </w:r>
                  <w:r>
                    <w:rPr>
                      <w:rFonts w:hint="default" w:ascii="Times New Roman" w:hAnsi="Times New Roman" w:cs="Times New Roman"/>
                      <w:kern w:val="0"/>
                      <w:szCs w:val="21"/>
                      <w:lang w:bidi="ar"/>
                    </w:rPr>
                    <w:t>类标准</w:t>
                  </w:r>
                </w:p>
              </w:tc>
            </w:tr>
          </w:tbl>
          <w:p>
            <w:pPr>
              <w:pStyle w:val="7"/>
              <w:keepNext w:val="0"/>
              <w:keepLines w:val="0"/>
              <w:pageBreakBefore w:val="0"/>
              <w:widowControl w:val="0"/>
              <w:kinsoku/>
              <w:wordWrap/>
              <w:overflowPunct/>
              <w:topLinePunct w:val="0"/>
              <w:autoSpaceDE/>
              <w:autoSpaceDN/>
              <w:bidi w:val="0"/>
              <w:adjustRightInd/>
              <w:snapToGrid/>
              <w:spacing w:before="157" w:beforeLines="50" w:line="360" w:lineRule="auto"/>
              <w:ind w:firstLine="482"/>
              <w:textAlignment w:val="auto"/>
              <w:rPr>
                <w:rFonts w:hint="default" w:ascii="Times New Roman" w:hAnsi="Times New Roman" w:eastAsia="宋体"/>
                <w:b/>
                <w:bCs/>
                <w:sz w:val="24"/>
                <w:szCs w:val="24"/>
                <w:lang w:val="en-US" w:eastAsia="zh-CN"/>
              </w:rPr>
            </w:pPr>
            <w:r>
              <w:rPr>
                <w:rFonts w:hint="eastAsia"/>
                <w:b/>
                <w:bCs/>
                <w:sz w:val="24"/>
                <w:szCs w:val="24"/>
                <w:lang w:val="en-US" w:eastAsia="zh-CN"/>
              </w:rPr>
              <w:t>4、</w:t>
            </w:r>
            <w:r>
              <w:rPr>
                <w:rFonts w:hint="eastAsia" w:ascii="Times New Roman" w:hAnsi="Times New Roman"/>
                <w:b/>
                <w:bCs/>
                <w:sz w:val="24"/>
                <w:szCs w:val="24"/>
                <w:lang w:val="en-US" w:eastAsia="zh-CN"/>
              </w:rPr>
              <w:t>固体废物</w:t>
            </w:r>
          </w:p>
          <w:p>
            <w:pPr>
              <w:bidi w:val="0"/>
              <w:spacing w:line="360" w:lineRule="auto"/>
              <w:ind w:firstLine="480" w:firstLineChars="200"/>
              <w:rPr>
                <w:rFonts w:hint="eastAsia"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本项目产生的固体废物主要包括员工生活垃圾、废包装材料、不合格品、</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废滤料、废RO膜、</w:t>
            </w:r>
            <w:r>
              <w:rPr>
                <w:rFonts w:hint="eastAsia" w:ascii="Times New Roman" w:hAnsi="Times New Roman" w:cs="Times New Roman"/>
                <w:color w:val="auto"/>
                <w:sz w:val="24"/>
                <w:szCs w:val="24"/>
                <w:lang w:val="en-US" w:eastAsia="zh-CN"/>
              </w:rPr>
              <w:t>通风系统废滤材、废玻璃、</w:t>
            </w:r>
            <w:r>
              <w:rPr>
                <w:rFonts w:hint="eastAsia" w:cs="Times New Roman"/>
                <w:color w:val="000000" w:themeColor="text1"/>
                <w:sz w:val="24"/>
                <w:szCs w:val="24"/>
                <w:highlight w:val="none"/>
                <w:lang w:val="en-US" w:eastAsia="zh-CN"/>
                <w14:textFill>
                  <w14:solidFill>
                    <w14:schemeClr w14:val="tx1"/>
                  </w14:solidFill>
                </w14:textFill>
              </w:rPr>
              <w:t>化学品废包装、废无尘布、废手套、废UV灯管、废机油、废电路板、废活性炭。</w:t>
            </w:r>
          </w:p>
          <w:p>
            <w:pPr>
              <w:numPr>
                <w:ilvl w:val="0"/>
                <w:numId w:val="0"/>
              </w:num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（1）</w:t>
            </w:r>
            <w:r>
              <w:rPr>
                <w:rFonts w:hint="eastAsia" w:ascii="Times New Roman" w:hAnsi="Times New Roman" w:cs="Times New Roman"/>
                <w:color w:val="auto"/>
                <w:sz w:val="24"/>
                <w:szCs w:val="24"/>
                <w:lang w:val="en-US" w:eastAsia="zh-CN"/>
              </w:rPr>
              <w:t>生活垃圾</w:t>
            </w:r>
          </w:p>
          <w:p>
            <w:pPr>
              <w:numPr>
                <w:ilvl w:val="0"/>
                <w:numId w:val="0"/>
              </w:numPr>
              <w:bidi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本项目员工人数100人，员工的生活垃圾以0.5kg/d来计，则生活垃圾产生量为15t/a。</w:t>
            </w:r>
          </w:p>
          <w:p>
            <w:pPr>
              <w:numPr>
                <w:ilvl w:val="0"/>
                <w:numId w:val="0"/>
              </w:numPr>
              <w:bidi w:val="0"/>
              <w:spacing w:line="360" w:lineRule="auto"/>
              <w:ind w:firstLine="480" w:firstLineChars="200"/>
              <w:rPr>
                <w:rFonts w:hint="eastAsia" w:cs="Times New Roman"/>
                <w:color w:val="auto"/>
                <w:sz w:val="24"/>
                <w:szCs w:val="24"/>
                <w:lang w:val="en-US" w:eastAsia="zh-CN"/>
              </w:rPr>
            </w:pPr>
            <w:r>
              <w:rPr>
                <w:rFonts w:hint="eastAsia" w:cs="Times New Roman"/>
                <w:color w:val="auto"/>
                <w:sz w:val="24"/>
                <w:szCs w:val="24"/>
                <w:lang w:val="en-US" w:eastAsia="zh-CN"/>
              </w:rPr>
              <w:t>（2）</w:t>
            </w:r>
            <w:r>
              <w:rPr>
                <w:rFonts w:hint="eastAsia" w:ascii="Times New Roman" w:hAnsi="Times New Roman" w:cs="Times New Roman"/>
                <w:color w:val="auto"/>
                <w:sz w:val="24"/>
                <w:szCs w:val="24"/>
                <w:lang w:val="en-US" w:eastAsia="zh-CN"/>
              </w:rPr>
              <w:t>废包装</w:t>
            </w:r>
            <w:r>
              <w:rPr>
                <w:rFonts w:hint="eastAsia" w:cs="Times New Roman"/>
                <w:color w:val="auto"/>
                <w:sz w:val="24"/>
                <w:szCs w:val="24"/>
                <w:lang w:val="en-US" w:eastAsia="zh-CN"/>
              </w:rPr>
              <w:t>材料</w:t>
            </w:r>
          </w:p>
          <w:p>
            <w:pPr>
              <w:numPr>
                <w:ilvl w:val="0"/>
                <w:numId w:val="0"/>
              </w:num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项目产生的废包装材料</w:t>
            </w:r>
            <w:r>
              <w:rPr>
                <w:rFonts w:hint="eastAsia" w:ascii="Times New Roman" w:hAnsi="Times New Roman" w:cs="Times New Roman"/>
                <w:color w:val="auto"/>
                <w:sz w:val="24"/>
                <w:szCs w:val="24"/>
                <w:lang w:val="en-US" w:eastAsia="zh-CN"/>
              </w:rPr>
              <w:t>主要为原辅材料拆除、产品包装入库过程中产生少量包装纸盒、包装袋等，产生量约为0.5t/a，为一般工业固体废物，收集后定期交由资源回收单位回收。</w:t>
            </w:r>
          </w:p>
          <w:p>
            <w:pPr>
              <w:pStyle w:val="2"/>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cs="Times New Roman"/>
                <w:color w:val="auto"/>
                <w:sz w:val="24"/>
                <w:szCs w:val="24"/>
                <w:lang w:val="en-US" w:eastAsia="zh-CN"/>
              </w:rPr>
              <w:t xml:space="preserve">    </w:t>
            </w:r>
            <w:r>
              <w:rPr>
                <w:rFonts w:hint="eastAsia" w:ascii="Times New Roman" w:hAnsi="Times New Roman" w:eastAsia="宋体" w:cs="Times New Roman"/>
                <w:b w:val="0"/>
                <w:bCs w:val="0"/>
                <w:color w:val="auto"/>
                <w:kern w:val="2"/>
                <w:sz w:val="24"/>
                <w:szCs w:val="24"/>
                <w:lang w:val="en-US" w:eastAsia="zh-CN" w:bidi="ar-SA"/>
              </w:rPr>
              <w:t>（3）不合格品</w:t>
            </w:r>
          </w:p>
          <w:p>
            <w:pPr>
              <w:pStyle w:val="2"/>
              <w:ind w:firstLine="480" w:firstLineChars="200"/>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成品测试、检查过程中有不合格品产生，根据建设单位提供的资料，不合格品的产生量约为1t/a，收集后定期交由资源回收单位回收。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eastAsia" w:ascii="Times New Roman" w:hAnsi="Times New Roman" w:cs="Times New Roman"/>
                <w:bCs/>
                <w:color w:val="auto"/>
                <w:sz w:val="24"/>
                <w:lang w:val="en-US" w:eastAsia="zh-CN"/>
              </w:rPr>
              <w:t>废滤料、废RO膜</w:t>
            </w:r>
          </w:p>
          <w:p>
            <w:pPr>
              <w:bidi w:val="0"/>
              <w:spacing w:line="360" w:lineRule="auto"/>
              <w:ind w:firstLine="480" w:firstLineChars="200"/>
              <w:rPr>
                <w:rFonts w:hint="eastAsia" w:cs="Times New Roman"/>
                <w:color w:val="auto"/>
                <w:sz w:val="24"/>
                <w:szCs w:val="24"/>
                <w:lang w:val="en-US" w:eastAsia="zh-CN"/>
              </w:rPr>
            </w:pPr>
            <w:r>
              <w:rPr>
                <w:rFonts w:ascii="Times New Roman" w:hAnsi="Times New Roman" w:eastAsia="宋体" w:cs="Times New Roman"/>
                <w:sz w:val="24"/>
                <w:szCs w:val="24"/>
              </w:rPr>
              <w:t>项目纯水制备过程中会产生一定量的</w:t>
            </w:r>
            <w:r>
              <w:rPr>
                <w:rFonts w:hint="eastAsia" w:ascii="Times New Roman" w:hAnsi="Times New Roman" w:cs="Times New Roman"/>
                <w:bCs/>
                <w:color w:val="auto"/>
                <w:sz w:val="24"/>
                <w:lang w:val="en-US" w:eastAsia="zh-CN"/>
              </w:rPr>
              <w:t>废滤料、废RO膜</w:t>
            </w:r>
            <w:r>
              <w:rPr>
                <w:rFonts w:ascii="Times New Roman" w:hAnsi="Times New Roman" w:eastAsia="宋体" w:cs="Times New Roman"/>
                <w:sz w:val="24"/>
                <w:szCs w:val="24"/>
              </w:rPr>
              <w:t>，产生量约为0.</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rPr>
              <w:t>t/a，</w:t>
            </w:r>
            <w:r>
              <w:rPr>
                <w:rFonts w:hint="eastAsia" w:ascii="Times New Roman" w:hAnsi="Times New Roman" w:eastAsia="宋体" w:cs="Times New Roman"/>
                <w:b w:val="0"/>
                <w:bCs w:val="0"/>
                <w:color w:val="auto"/>
                <w:kern w:val="2"/>
                <w:sz w:val="24"/>
                <w:szCs w:val="24"/>
                <w:lang w:val="en-US" w:eastAsia="zh-CN" w:bidi="ar-SA"/>
              </w:rPr>
              <w:t>收集后定期交由资源回收单位回收</w:t>
            </w:r>
            <w:r>
              <w:rPr>
                <w:rFonts w:ascii="Times New Roman" w:hAnsi="Times New Roman" w:eastAsia="宋体" w:cs="Times New Roman"/>
                <w:sz w:val="24"/>
                <w:szCs w:val="24"/>
              </w:rPr>
              <w:t>。</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（5）</w:t>
            </w:r>
            <w:r>
              <w:rPr>
                <w:rFonts w:hint="eastAsia" w:ascii="Times New Roman" w:hAnsi="Times New Roman" w:cs="Times New Roman"/>
                <w:color w:val="auto"/>
                <w:sz w:val="24"/>
                <w:szCs w:val="24"/>
                <w:lang w:val="en-US" w:eastAsia="zh-CN"/>
              </w:rPr>
              <w:t>通风系统废滤材</w:t>
            </w:r>
          </w:p>
          <w:p>
            <w:pPr>
              <w:bidi w:val="0"/>
              <w:spacing w:line="360" w:lineRule="auto"/>
              <w:ind w:firstLine="480" w:firstLineChars="200"/>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为</w:t>
            </w:r>
            <w:r>
              <w:rPr>
                <w:rFonts w:hint="default" w:ascii="Times New Roman" w:hAnsi="Times New Roman" w:cs="Times New Roman"/>
                <w:color w:val="auto"/>
                <w:sz w:val="24"/>
                <w:szCs w:val="24"/>
                <w:lang w:val="en-US" w:eastAsia="zh-CN"/>
              </w:rPr>
              <w:t>控制</w:t>
            </w:r>
            <w:r>
              <w:rPr>
                <w:rFonts w:hint="eastAsia" w:ascii="Times New Roman" w:hAnsi="Times New Roman" w:cs="Times New Roman"/>
                <w:color w:val="auto"/>
                <w:sz w:val="24"/>
                <w:szCs w:val="24"/>
                <w:lang w:val="en-US" w:eastAsia="zh-CN"/>
              </w:rPr>
              <w:t>厂房内的</w:t>
            </w:r>
            <w:r>
              <w:rPr>
                <w:rFonts w:hint="default" w:ascii="Times New Roman" w:hAnsi="Times New Roman" w:cs="Times New Roman"/>
                <w:color w:val="auto"/>
                <w:sz w:val="24"/>
                <w:szCs w:val="24"/>
                <w:lang w:val="en-US" w:eastAsia="zh-CN"/>
              </w:rPr>
              <w:t>微粒和浮尘，</w:t>
            </w:r>
            <w:r>
              <w:rPr>
                <w:rFonts w:hint="eastAsia" w:ascii="Times New Roman" w:hAnsi="Times New Roman" w:cs="Times New Roman"/>
                <w:color w:val="auto"/>
                <w:sz w:val="24"/>
                <w:szCs w:val="24"/>
                <w:lang w:val="en-US" w:eastAsia="zh-CN"/>
              </w:rPr>
              <w:t>保证厂房内的</w:t>
            </w:r>
            <w:r>
              <w:rPr>
                <w:rFonts w:hint="default" w:ascii="Times New Roman" w:hAnsi="Times New Roman" w:cs="Times New Roman"/>
                <w:color w:val="auto"/>
                <w:sz w:val="24"/>
                <w:szCs w:val="24"/>
                <w:lang w:val="en-US" w:eastAsia="zh-CN"/>
              </w:rPr>
              <w:t>环境的温</w:t>
            </w:r>
            <w:r>
              <w:rPr>
                <w:rFonts w:hint="eastAsia" w:ascii="Times New Roman" w:hAnsi="Times New Roman" w:cs="Times New Roman"/>
                <w:color w:val="auto"/>
                <w:sz w:val="24"/>
                <w:szCs w:val="24"/>
                <w:lang w:val="en-US" w:eastAsia="zh-CN"/>
              </w:rPr>
              <w:t>度、</w:t>
            </w:r>
            <w:r>
              <w:rPr>
                <w:rFonts w:hint="default" w:ascii="Times New Roman" w:hAnsi="Times New Roman" w:cs="Times New Roman"/>
                <w:color w:val="auto"/>
                <w:sz w:val="24"/>
                <w:szCs w:val="24"/>
                <w:lang w:val="en-US" w:eastAsia="zh-CN"/>
              </w:rPr>
              <w:t>湿度、新鲜空气量</w:t>
            </w:r>
            <w:r>
              <w:rPr>
                <w:rFonts w:hint="eastAsia" w:ascii="Times New Roman" w:hAnsi="Times New Roman" w:cs="Times New Roman"/>
                <w:color w:val="auto"/>
                <w:sz w:val="24"/>
                <w:szCs w:val="24"/>
                <w:lang w:val="en-US" w:eastAsia="zh-CN"/>
              </w:rPr>
              <w:t>符合项目生产条件，</w:t>
            </w:r>
            <w:r>
              <w:rPr>
                <w:rFonts w:hint="default" w:ascii="Times New Roman" w:hAnsi="Times New Roman" w:cs="Times New Roman"/>
                <w:color w:val="auto"/>
                <w:sz w:val="24"/>
                <w:szCs w:val="24"/>
                <w:lang w:val="en-US" w:eastAsia="zh-CN"/>
              </w:rPr>
              <w:t>本项目设置</w:t>
            </w:r>
            <w:r>
              <w:rPr>
                <w:rFonts w:hint="eastAsia" w:ascii="Times New Roman" w:hAnsi="Times New Roman" w:cs="Times New Roman"/>
                <w:color w:val="auto"/>
                <w:sz w:val="24"/>
                <w:szCs w:val="24"/>
                <w:lang w:val="en-US" w:eastAsia="zh-CN"/>
              </w:rPr>
              <w:t>万级</w:t>
            </w:r>
            <w:r>
              <w:rPr>
                <w:rFonts w:hint="default" w:ascii="Times New Roman" w:hAnsi="Times New Roman" w:cs="Times New Roman"/>
                <w:bCs/>
                <w:color w:val="000000"/>
                <w:sz w:val="24"/>
                <w:szCs w:val="24"/>
                <w:highlight w:val="none"/>
                <w:lang w:val="en-US" w:eastAsia="zh-CN"/>
              </w:rPr>
              <w:t>洁净厂房</w:t>
            </w:r>
            <w:r>
              <w:rPr>
                <w:rFonts w:hint="eastAsia" w:ascii="Times New Roman" w:hAnsi="Times New Roman" w:cs="Times New Roman"/>
                <w:bCs/>
                <w:color w:val="000000"/>
                <w:sz w:val="24"/>
                <w:szCs w:val="24"/>
                <w:highlight w:val="none"/>
                <w:lang w:val="en-US" w:eastAsia="zh-CN"/>
              </w:rPr>
              <w:t>，厂房内设置</w:t>
            </w:r>
            <w:r>
              <w:rPr>
                <w:rFonts w:hint="default" w:ascii="Times New Roman" w:hAnsi="Times New Roman" w:cs="Times New Roman"/>
                <w:color w:val="auto"/>
                <w:sz w:val="24"/>
                <w:szCs w:val="24"/>
                <w:lang w:val="en-US" w:eastAsia="zh-CN"/>
              </w:rPr>
              <w:t>高效空气过滤器</w:t>
            </w:r>
            <w:r>
              <w:rPr>
                <w:rFonts w:hint="eastAsia" w:ascii="Times New Roman" w:hAnsi="Times New Roman" w:cs="Times New Roman"/>
                <w:color w:val="auto"/>
                <w:sz w:val="24"/>
                <w:szCs w:val="24"/>
                <w:lang w:val="en-US" w:eastAsia="zh-CN"/>
              </w:rPr>
              <w:t>。高效过滤器需定期更换，保证空气过滤效果。</w:t>
            </w:r>
            <w:r>
              <w:rPr>
                <w:rFonts w:hint="default" w:ascii="Times New Roman" w:hAnsi="Times New Roman" w:cs="Times New Roman"/>
                <w:color w:val="auto"/>
                <w:sz w:val="24"/>
                <w:szCs w:val="24"/>
                <w:lang w:val="en-US" w:eastAsia="zh-CN"/>
              </w:rPr>
              <w:t>负压通风系统更换的废滤材产生量</w:t>
            </w:r>
            <w:r>
              <w:rPr>
                <w:rFonts w:hint="eastAsia" w:ascii="Times New Roman" w:hAnsi="Times New Roman" w:cs="Times New Roman"/>
                <w:color w:val="auto"/>
                <w:sz w:val="24"/>
                <w:szCs w:val="24"/>
                <w:lang w:val="en-US" w:eastAsia="zh-CN"/>
              </w:rPr>
              <w:t>约</w:t>
            </w:r>
            <w:r>
              <w:rPr>
                <w:rFonts w:hint="default" w:ascii="Times New Roman" w:hAnsi="Times New Roman" w:cs="Times New Roman"/>
                <w:color w:val="auto"/>
                <w:sz w:val="24"/>
                <w:szCs w:val="24"/>
                <w:lang w:val="en-US" w:eastAsia="zh-CN"/>
              </w:rPr>
              <w:t>为1t/a</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经收集后</w:t>
            </w:r>
            <w:r>
              <w:rPr>
                <w:rFonts w:hint="eastAsia" w:ascii="Times New Roman" w:hAnsi="Times New Roman" w:cs="Times New Roman"/>
                <w:color w:val="auto"/>
                <w:sz w:val="24"/>
                <w:szCs w:val="24"/>
                <w:lang w:val="en-US" w:eastAsia="zh-CN"/>
              </w:rPr>
              <w:t>交由厂家回收处理</w:t>
            </w:r>
            <w:r>
              <w:rPr>
                <w:rFonts w:hint="default" w:ascii="Times New Roman" w:hAnsi="Times New Roman" w:cs="Times New Roman"/>
                <w:color w:val="auto"/>
                <w:sz w:val="24"/>
                <w:szCs w:val="24"/>
                <w:lang w:val="en-US" w:eastAsia="zh-CN"/>
              </w:rPr>
              <w:t>。</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（6）</w:t>
            </w:r>
            <w:r>
              <w:rPr>
                <w:rFonts w:hint="eastAsia" w:ascii="Times New Roman" w:hAnsi="Times New Roman" w:cs="Times New Roman"/>
                <w:color w:val="auto"/>
                <w:sz w:val="24"/>
                <w:szCs w:val="24"/>
                <w:lang w:val="en-US" w:eastAsia="zh-CN"/>
              </w:rPr>
              <w:t>废</w:t>
            </w:r>
            <w:r>
              <w:rPr>
                <w:rFonts w:hint="eastAsia" w:cs="Times New Roman"/>
                <w:color w:val="auto"/>
                <w:sz w:val="24"/>
                <w:szCs w:val="24"/>
                <w:lang w:val="en-US" w:eastAsia="zh-CN"/>
              </w:rPr>
              <w:t>玻璃</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在</w:t>
            </w:r>
            <w:r>
              <w:rPr>
                <w:rFonts w:hint="eastAsia" w:cs="Times New Roman"/>
                <w:color w:val="auto"/>
                <w:sz w:val="24"/>
                <w:szCs w:val="24"/>
                <w:lang w:val="en-US" w:eastAsia="zh-CN"/>
              </w:rPr>
              <w:t>模组装配、测试等</w:t>
            </w:r>
            <w:r>
              <w:rPr>
                <w:rFonts w:hint="eastAsia" w:ascii="Times New Roman" w:hAnsi="Times New Roman" w:cs="Times New Roman"/>
                <w:color w:val="auto"/>
                <w:sz w:val="24"/>
                <w:szCs w:val="24"/>
                <w:lang w:val="en-US" w:eastAsia="zh-CN"/>
              </w:rPr>
              <w:t>过程中会产生</w:t>
            </w:r>
            <w:r>
              <w:rPr>
                <w:rFonts w:hint="eastAsia" w:cs="Times New Roman"/>
                <w:color w:val="auto"/>
                <w:sz w:val="24"/>
                <w:szCs w:val="24"/>
                <w:lang w:val="en-US" w:eastAsia="zh-CN"/>
              </w:rPr>
              <w:t>一定的废玻璃</w:t>
            </w:r>
            <w:r>
              <w:rPr>
                <w:rFonts w:hint="eastAsia" w:ascii="Times New Roman" w:hAnsi="Times New Roman" w:cs="Times New Roman"/>
                <w:color w:val="auto"/>
                <w:sz w:val="24"/>
                <w:szCs w:val="24"/>
                <w:lang w:val="en-US" w:eastAsia="zh-CN"/>
              </w:rPr>
              <w:t>，产生量约为</w:t>
            </w:r>
            <w:r>
              <w:rPr>
                <w:rFonts w:hint="eastAsia" w:cs="Times New Roman"/>
                <w:color w:val="auto"/>
                <w:sz w:val="24"/>
                <w:szCs w:val="24"/>
                <w:lang w:val="en-US" w:eastAsia="zh-CN"/>
              </w:rPr>
              <w:t>1</w:t>
            </w:r>
            <w:r>
              <w:rPr>
                <w:rFonts w:hint="eastAsia" w:ascii="Times New Roman" w:hAnsi="Times New Roman" w:cs="Times New Roman"/>
                <w:color w:val="auto"/>
                <w:sz w:val="24"/>
                <w:szCs w:val="24"/>
                <w:lang w:val="en-US" w:eastAsia="zh-CN"/>
              </w:rPr>
              <w:t>t/a</w:t>
            </w:r>
            <w:r>
              <w:rPr>
                <w:rFonts w:hint="eastAsia" w:cs="Times New Roman"/>
                <w:color w:val="auto"/>
                <w:sz w:val="24"/>
                <w:szCs w:val="24"/>
                <w:lang w:val="en-US" w:eastAsia="zh-CN"/>
              </w:rPr>
              <w:t>，</w:t>
            </w:r>
            <w:r>
              <w:rPr>
                <w:rFonts w:hint="eastAsia" w:ascii="Times New Roman" w:hAnsi="Times New Roman" w:eastAsia="宋体" w:cs="Times New Roman"/>
                <w:b w:val="0"/>
                <w:bCs w:val="0"/>
                <w:color w:val="auto"/>
                <w:kern w:val="2"/>
                <w:sz w:val="24"/>
                <w:szCs w:val="24"/>
                <w:lang w:val="en-US" w:eastAsia="zh-CN" w:bidi="ar-SA"/>
              </w:rPr>
              <w:t>收集后定期交由资源回收单位回收</w:t>
            </w:r>
            <w:r>
              <w:rPr>
                <w:rFonts w:ascii="Times New Roman" w:hAnsi="Times New Roman" w:eastAsia="宋体" w:cs="Times New Roman"/>
                <w:sz w:val="24"/>
                <w:szCs w:val="24"/>
              </w:rPr>
              <w:t>。</w:t>
            </w:r>
          </w:p>
          <w:p>
            <w:pPr>
              <w:bidi w:val="0"/>
              <w:spacing w:line="360" w:lineRule="auto"/>
              <w:ind w:firstLine="480" w:firstLineChars="200"/>
              <w:rPr>
                <w:rFonts w:hint="eastAsia"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7</w:t>
            </w:r>
            <w:r>
              <w:rPr>
                <w:rFonts w:hint="eastAsia" w:ascii="Times New Roman" w:hAnsi="Times New Roman" w:cs="Times New Roman"/>
                <w:color w:val="auto"/>
                <w:sz w:val="24"/>
                <w:szCs w:val="24"/>
                <w:lang w:val="en-US" w:eastAsia="zh-CN"/>
              </w:rPr>
              <w:t>）</w:t>
            </w:r>
            <w:r>
              <w:rPr>
                <w:rFonts w:hint="eastAsia" w:cs="Times New Roman"/>
                <w:color w:val="000000" w:themeColor="text1"/>
                <w:sz w:val="24"/>
                <w:szCs w:val="24"/>
                <w:highlight w:val="none"/>
                <w:lang w:val="en-US" w:eastAsia="zh-CN"/>
                <w14:textFill>
                  <w14:solidFill>
                    <w14:schemeClr w14:val="tx1"/>
                  </w14:solidFill>
                </w14:textFill>
              </w:rPr>
              <w:t>化学品废包装</w:t>
            </w:r>
          </w:p>
          <w:p>
            <w:pPr>
              <w:bidi w:val="0"/>
              <w:spacing w:line="360" w:lineRule="auto"/>
              <w:ind w:firstLine="480" w:firstLineChars="200"/>
              <w:rPr>
                <w:rFonts w:hint="default" w:ascii="Times New Roman" w:hAnsi="Times New Roman" w:cs="Times New Roman"/>
                <w:color w:val="auto"/>
                <w:sz w:val="24"/>
                <w:szCs w:val="24"/>
              </w:rPr>
            </w:pPr>
            <w:r>
              <w:rPr>
                <w:rFonts w:hint="eastAsia" w:cs="Times New Roman"/>
                <w:color w:val="000000" w:themeColor="text1"/>
                <w:sz w:val="24"/>
                <w:szCs w:val="24"/>
                <w:highlight w:val="none"/>
                <w:lang w:val="en-US" w:eastAsia="zh-CN"/>
                <w14:textFill>
                  <w14:solidFill>
                    <w14:schemeClr w14:val="tx1"/>
                  </w14:solidFill>
                </w14:textFill>
              </w:rPr>
              <w:t>项目使用酒精、胶水等原辅材料后会产生含化学品的废包装，</w:t>
            </w:r>
            <w:r>
              <w:rPr>
                <w:rFonts w:hint="eastAsia" w:cs="Times New Roman"/>
                <w:color w:val="auto"/>
                <w:sz w:val="24"/>
                <w:szCs w:val="24"/>
                <w:highlight w:val="none"/>
                <w:lang w:val="en-US" w:eastAsia="zh-CN"/>
              </w:rPr>
              <w:t>产生量约为0.5t/a。</w:t>
            </w:r>
            <w:r>
              <w:rPr>
                <w:rFonts w:hint="default" w:ascii="Times New Roman" w:hAnsi="Times New Roman" w:cs="Times New Roman"/>
                <w:color w:val="auto"/>
                <w:sz w:val="24"/>
                <w:szCs w:val="24"/>
              </w:rPr>
              <w:t>根据《国家危险废物名录（2021）》，化学品废包装属于HW49其他废物（废物代码为900-041-49），收集后暂存于危废间，委托有危险废物处理资质的单位处理。</w:t>
            </w:r>
          </w:p>
          <w:p>
            <w:pPr>
              <w:pStyle w:val="2"/>
              <w:ind w:firstLine="480" w:firstLineChars="200"/>
              <w:rPr>
                <w:rFonts w:hint="eastAsia" w:ascii="Times New Roman" w:hAnsi="Times New Roman" w:eastAsia="宋体" w:cs="Times New Roman"/>
                <w:b w:val="0"/>
                <w:bCs w:val="0"/>
                <w:color w:val="auto"/>
                <w:kern w:val="2"/>
                <w:sz w:val="24"/>
                <w:szCs w:val="24"/>
                <w:lang w:val="en-US" w:eastAsia="zh-CN" w:bidi="ar-SA"/>
              </w:rPr>
            </w:pPr>
            <w:r>
              <w:rPr>
                <w:rFonts w:hint="eastAsia" w:eastAsia="宋体"/>
                <w:b w:val="0"/>
                <w:bCs w:val="0"/>
                <w:sz w:val="24"/>
                <w:szCs w:val="24"/>
                <w:lang w:val="en-US" w:eastAsia="zh-CN"/>
              </w:rPr>
              <w:t>（</w:t>
            </w:r>
            <w:r>
              <w:rPr>
                <w:rFonts w:hint="eastAsia"/>
                <w:b w:val="0"/>
                <w:bCs w:val="0"/>
                <w:sz w:val="24"/>
                <w:szCs w:val="24"/>
                <w:lang w:val="en-US" w:eastAsia="zh-CN"/>
              </w:rPr>
              <w:t>8</w:t>
            </w:r>
            <w:r>
              <w:rPr>
                <w:rFonts w:hint="eastAsia" w:eastAsia="宋体"/>
                <w:b w:val="0"/>
                <w:bCs w:val="0"/>
                <w:sz w:val="24"/>
                <w:szCs w:val="24"/>
                <w:lang w:val="en-US" w:eastAsia="zh-CN"/>
              </w:rPr>
              <w:t>）</w:t>
            </w:r>
            <w:r>
              <w:rPr>
                <w:rFonts w:hint="eastAsia" w:ascii="Times New Roman" w:hAnsi="Times New Roman" w:eastAsia="宋体" w:cs="Times New Roman"/>
                <w:b w:val="0"/>
                <w:bCs w:val="0"/>
                <w:color w:val="auto"/>
                <w:kern w:val="2"/>
                <w:sz w:val="24"/>
                <w:szCs w:val="24"/>
                <w:lang w:val="en-US" w:eastAsia="zh-CN" w:bidi="ar-SA"/>
              </w:rPr>
              <w:t>废无尘布、废手套</w:t>
            </w:r>
          </w:p>
          <w:p>
            <w:pPr>
              <w:pStyle w:val="2"/>
              <w:ind w:firstLine="480" w:firstLineChars="200"/>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本项目用无尘布蘸取酒精进行擦拭清洁，擦拭过程中会产生沾有酒精、胶水的废无尘布和废手套，产生量约为0.05t/a。根据《国家危险废物名录（2021）》，废无尘布和废手套属于HW</w:t>
            </w:r>
            <w:r>
              <w:rPr>
                <w:rFonts w:hint="eastAsia" w:cs="Times New Roman"/>
                <w:b w:val="0"/>
                <w:bCs w:val="0"/>
                <w:color w:val="auto"/>
                <w:kern w:val="2"/>
                <w:sz w:val="24"/>
                <w:szCs w:val="24"/>
                <w:lang w:val="en-US" w:eastAsia="zh-CN" w:bidi="ar-SA"/>
              </w:rPr>
              <w:t>49其他废物</w:t>
            </w:r>
            <w:r>
              <w:rPr>
                <w:rFonts w:hint="eastAsia" w:ascii="Times New Roman" w:hAnsi="Times New Roman" w:eastAsia="宋体" w:cs="Times New Roman"/>
                <w:b w:val="0"/>
                <w:bCs w:val="0"/>
                <w:color w:val="auto"/>
                <w:kern w:val="2"/>
                <w:sz w:val="24"/>
                <w:szCs w:val="24"/>
                <w:lang w:val="en-US" w:eastAsia="zh-CN" w:bidi="ar-SA"/>
              </w:rPr>
              <w:t>（废物代码为900-041-49），收集后暂存于危废间，委托有危险废物处理资质的单位处理。</w:t>
            </w:r>
          </w:p>
          <w:p>
            <w:pPr>
              <w:pStyle w:val="2"/>
              <w:ind w:firstLine="480" w:firstLineChars="200"/>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（9）</w:t>
            </w:r>
            <w:r>
              <w:rPr>
                <w:rFonts w:hint="default" w:ascii="Times New Roman" w:hAnsi="Times New Roman" w:eastAsia="宋体" w:cs="Times New Roman"/>
                <w:b w:val="0"/>
                <w:bCs w:val="0"/>
                <w:sz w:val="24"/>
                <w:szCs w:val="24"/>
                <w:lang w:val="en-US" w:eastAsia="zh-CN"/>
              </w:rPr>
              <w:t>废UV灯管</w:t>
            </w:r>
          </w:p>
          <w:p>
            <w:pPr>
              <w:pStyle w:val="55"/>
              <w:numPr>
                <w:ilvl w:val="0"/>
                <w:numId w:val="0"/>
              </w:numPr>
              <w:ind w:firstLine="480" w:firstLineChars="200"/>
              <w:rPr>
                <w:rFonts w:hint="eastAsia" w:cs="Times New Roman"/>
                <w:color w:val="auto"/>
                <w:sz w:val="24"/>
                <w:szCs w:val="24"/>
                <w:lang w:val="en-US" w:eastAsia="zh-CN"/>
              </w:rPr>
            </w:pPr>
            <w:r>
              <w:rPr>
                <w:rFonts w:hint="default" w:ascii="Times New Roman" w:hAnsi="Times New Roman" w:cs="Times New Roman"/>
                <w:bCs/>
                <w:color w:val="auto"/>
                <w:sz w:val="24"/>
                <w:szCs w:val="24"/>
                <w:lang w:val="en-US" w:eastAsia="zh-CN"/>
              </w:rPr>
              <w:t>项目</w:t>
            </w:r>
            <w:r>
              <w:t>紫外</w:t>
            </w:r>
            <w:r>
              <w:rPr>
                <w:rFonts w:hint="eastAsia"/>
                <w:lang w:val="en-US" w:eastAsia="zh-CN"/>
              </w:rPr>
              <w:t>灯</w:t>
            </w:r>
            <w:r>
              <w:rPr>
                <w:rFonts w:hint="default" w:ascii="Times New Roman" w:hAnsi="Times New Roman" w:cs="Times New Roman"/>
                <w:bCs/>
                <w:color w:val="auto"/>
                <w:sz w:val="24"/>
                <w:szCs w:val="24"/>
                <w:lang w:val="en-US" w:eastAsia="zh-CN"/>
              </w:rPr>
              <w:t>中灯管需定期更换，每年更换一次，废灯管产生量约为0.0</w:t>
            </w:r>
            <w:r>
              <w:rPr>
                <w:rFonts w:hint="eastAsia" w:ascii="Times New Roman" w:hAnsi="Times New Roman" w:cs="Times New Roman"/>
                <w:bCs/>
                <w:color w:val="auto"/>
                <w:sz w:val="24"/>
                <w:szCs w:val="24"/>
                <w:lang w:val="en-US" w:eastAsia="zh-CN"/>
              </w:rPr>
              <w:t>5</w:t>
            </w:r>
            <w:r>
              <w:rPr>
                <w:rFonts w:hint="default" w:ascii="Times New Roman" w:hAnsi="Times New Roman" w:cs="Times New Roman"/>
                <w:bCs/>
                <w:color w:val="auto"/>
                <w:sz w:val="24"/>
                <w:szCs w:val="24"/>
                <w:lang w:val="en-US" w:eastAsia="zh-CN"/>
              </w:rPr>
              <w:t>t/a</w:t>
            </w:r>
            <w:r>
              <w:rPr>
                <w:rFonts w:hint="eastAsia" w:ascii="Times New Roman" w:hAnsi="Times New Roman" w:cs="Times New Roman"/>
                <w:bCs/>
                <w:color w:val="auto"/>
                <w:sz w:val="24"/>
                <w:szCs w:val="24"/>
                <w:lang w:val="en-US" w:eastAsia="zh-CN"/>
              </w:rPr>
              <w:t>，</w:t>
            </w:r>
            <w:r>
              <w:rPr>
                <w:rFonts w:hint="eastAsia" w:ascii="Times New Roman" w:hAnsi="Times New Roman" w:eastAsia="宋体" w:cs="Times New Roman"/>
                <w:b w:val="0"/>
                <w:bCs w:val="0"/>
                <w:color w:val="auto"/>
                <w:kern w:val="2"/>
                <w:sz w:val="24"/>
                <w:szCs w:val="24"/>
                <w:lang w:val="en-US" w:eastAsia="zh-CN" w:bidi="ar-SA"/>
              </w:rPr>
              <w:t>根据《国家危险废物名录（2021）》，废灯管属于HW29</w:t>
            </w:r>
            <w:r>
              <w:rPr>
                <w:rFonts w:hint="eastAsia" w:ascii="宋体" w:hAnsi="宋体"/>
                <w:color w:val="000000"/>
                <w:kern w:val="0"/>
                <w:szCs w:val="21"/>
              </w:rPr>
              <w:t>含汞废物</w:t>
            </w:r>
            <w:r>
              <w:rPr>
                <w:rFonts w:hint="eastAsia" w:ascii="Times New Roman" w:hAnsi="Times New Roman" w:eastAsia="宋体" w:cs="Times New Roman"/>
                <w:b w:val="0"/>
                <w:bCs w:val="0"/>
                <w:color w:val="auto"/>
                <w:kern w:val="2"/>
                <w:sz w:val="24"/>
                <w:szCs w:val="24"/>
                <w:lang w:val="en-US" w:eastAsia="zh-CN" w:bidi="ar-SA"/>
              </w:rPr>
              <w:t>（废物代码为900-023-29）</w:t>
            </w:r>
            <w:r>
              <w:rPr>
                <w:rFonts w:hint="default" w:ascii="Times New Roman" w:hAnsi="Times New Roman" w:cs="Times New Roman"/>
                <w:color w:val="auto"/>
                <w:sz w:val="24"/>
                <w:szCs w:val="24"/>
              </w:rPr>
              <w:t>统一放置在危废暂存间，</w:t>
            </w:r>
            <w:r>
              <w:rPr>
                <w:rFonts w:hint="eastAsia" w:ascii="Times New Roman" w:hAnsi="Times New Roman" w:eastAsia="宋体" w:cs="Times New Roman"/>
                <w:b w:val="0"/>
                <w:bCs w:val="0"/>
                <w:color w:val="auto"/>
                <w:kern w:val="2"/>
                <w:sz w:val="24"/>
                <w:szCs w:val="24"/>
                <w:lang w:val="en-US" w:eastAsia="zh-CN" w:bidi="ar-SA"/>
              </w:rPr>
              <w:t>委托有危险废物处理资质的单位处理</w:t>
            </w:r>
            <w:r>
              <w:rPr>
                <w:rFonts w:hint="default" w:ascii="Times New Roman" w:hAnsi="Times New Roman" w:cs="Times New Roman"/>
                <w:color w:val="auto"/>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10</w:t>
            </w:r>
            <w:r>
              <w:rPr>
                <w:rFonts w:ascii="Times New Roman" w:hAnsi="Times New Roman" w:eastAsia="宋体" w:cs="Times New Roman"/>
                <w:sz w:val="24"/>
                <w:szCs w:val="24"/>
              </w:rPr>
              <w:t>）废机油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项目设备维修检修过程过程中会产生一定量的废机油，属于危险废物（危险废物类别HW08，危险废物代码：900-218-08），产生量约0.1t/a，经收集后，委托</w:t>
            </w:r>
            <w:r>
              <w:rPr>
                <w:rFonts w:hint="eastAsia" w:ascii="Times New Roman" w:hAnsi="Times New Roman" w:eastAsia="宋体" w:cs="Times New Roman"/>
                <w:b w:val="0"/>
                <w:bCs w:val="0"/>
                <w:color w:val="auto"/>
                <w:kern w:val="2"/>
                <w:sz w:val="24"/>
                <w:szCs w:val="24"/>
                <w:lang w:val="en-US" w:eastAsia="zh-CN" w:bidi="ar-SA"/>
              </w:rPr>
              <w:t>有危险废物处理资质的单位处理</w:t>
            </w:r>
            <w:r>
              <w:rPr>
                <w:rFonts w:ascii="Times New Roman" w:hAnsi="Times New Roman" w:eastAsia="宋体" w:cs="Times New Roman"/>
                <w:sz w:val="24"/>
                <w:szCs w:val="24"/>
              </w:rPr>
              <w:t>。</w:t>
            </w:r>
          </w:p>
          <w:p>
            <w:pPr>
              <w:bidi w:val="0"/>
              <w:spacing w:line="360" w:lineRule="auto"/>
              <w:ind w:firstLine="480" w:firstLineChars="200"/>
              <w:rPr>
                <w:rFonts w:hint="eastAsia" w:ascii="Times New Roman" w:hAnsi="Times New Roman" w:cs="Times New Roman"/>
                <w:color w:val="auto"/>
                <w:sz w:val="24"/>
                <w:szCs w:val="24"/>
                <w:lang w:val="en-US" w:eastAsia="zh-CN"/>
              </w:rPr>
            </w:pPr>
            <w:r>
              <w:rPr>
                <w:rFonts w:hint="eastAsia" w:cs="Times New Roman"/>
                <w:color w:val="auto"/>
                <w:sz w:val="24"/>
                <w:szCs w:val="24"/>
                <w:lang w:val="en-US" w:eastAsia="zh-CN"/>
              </w:rPr>
              <w:t>（11）</w:t>
            </w:r>
            <w:r>
              <w:rPr>
                <w:rFonts w:hint="eastAsia" w:ascii="Times New Roman" w:hAnsi="Times New Roman" w:cs="Times New Roman"/>
                <w:bCs/>
                <w:color w:val="auto"/>
                <w:sz w:val="24"/>
                <w:szCs w:val="24"/>
                <w:highlight w:val="none"/>
                <w:lang w:val="en-US" w:eastAsia="zh-CN"/>
              </w:rPr>
              <w:t>废电路板</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color w:val="auto"/>
                <w:sz w:val="24"/>
                <w:szCs w:val="24"/>
                <w:lang w:val="en-US" w:eastAsia="zh-CN"/>
              </w:rPr>
              <w:t>在</w:t>
            </w:r>
            <w:r>
              <w:rPr>
                <w:rFonts w:hint="eastAsia" w:cs="Times New Roman"/>
                <w:color w:val="auto"/>
                <w:sz w:val="24"/>
                <w:szCs w:val="24"/>
                <w:lang w:val="en-US" w:eastAsia="zh-CN"/>
              </w:rPr>
              <w:t>模组装配、测试等</w:t>
            </w:r>
            <w:r>
              <w:rPr>
                <w:rFonts w:hint="eastAsia" w:ascii="Times New Roman" w:hAnsi="Times New Roman" w:cs="Times New Roman"/>
                <w:color w:val="auto"/>
                <w:sz w:val="24"/>
                <w:szCs w:val="24"/>
                <w:lang w:val="en-US" w:eastAsia="zh-CN"/>
              </w:rPr>
              <w:t>过程中会产生</w:t>
            </w:r>
            <w:r>
              <w:rPr>
                <w:rFonts w:hint="eastAsia" w:cs="Times New Roman"/>
                <w:color w:val="auto"/>
                <w:sz w:val="24"/>
                <w:szCs w:val="24"/>
                <w:lang w:val="en-US" w:eastAsia="zh-CN"/>
              </w:rPr>
              <w:t>一定的</w:t>
            </w:r>
            <w:r>
              <w:rPr>
                <w:rFonts w:hint="eastAsia" w:ascii="Times New Roman" w:hAnsi="Times New Roman" w:cs="Times New Roman"/>
                <w:bCs/>
                <w:color w:val="auto"/>
                <w:sz w:val="24"/>
                <w:szCs w:val="24"/>
                <w:highlight w:val="none"/>
                <w:lang w:val="en-US" w:eastAsia="zh-CN"/>
              </w:rPr>
              <w:t>废电路板</w:t>
            </w:r>
            <w:r>
              <w:rPr>
                <w:rFonts w:hint="eastAsia" w:ascii="Times New Roman" w:hAnsi="Times New Roman" w:cs="Times New Roman"/>
                <w:color w:val="auto"/>
                <w:sz w:val="24"/>
                <w:szCs w:val="24"/>
                <w:lang w:val="en-US" w:eastAsia="zh-CN"/>
              </w:rPr>
              <w:t>，</w:t>
            </w:r>
            <w:r>
              <w:rPr>
                <w:rFonts w:ascii="Times New Roman" w:hAnsi="Times New Roman" w:eastAsia="宋体" w:cs="Times New Roman"/>
                <w:sz w:val="24"/>
                <w:szCs w:val="24"/>
              </w:rPr>
              <w:t>属于危险废物（危险废物类别HW</w:t>
            </w:r>
            <w:r>
              <w:rPr>
                <w:rFonts w:hint="eastAsia" w:ascii="Times New Roman" w:hAnsi="Times New Roman" w:eastAsia="宋体" w:cs="Times New Roman"/>
                <w:sz w:val="24"/>
                <w:szCs w:val="24"/>
                <w:lang w:val="en-US" w:eastAsia="zh-CN"/>
              </w:rPr>
              <w:t>49</w:t>
            </w:r>
            <w:r>
              <w:rPr>
                <w:rFonts w:ascii="Times New Roman" w:hAnsi="Times New Roman" w:eastAsia="宋体" w:cs="Times New Roman"/>
                <w:sz w:val="24"/>
                <w:szCs w:val="24"/>
              </w:rPr>
              <w:t>，危险废物代码：</w:t>
            </w:r>
            <w:r>
              <w:rPr>
                <w:rFonts w:hint="eastAsia" w:ascii="Times New Roman" w:hAnsi="Times New Roman" w:eastAsia="宋体" w:cs="Times New Roman"/>
                <w:sz w:val="24"/>
                <w:szCs w:val="24"/>
              </w:rPr>
              <w:t>900-045-49</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w:t>
            </w:r>
            <w:r>
              <w:rPr>
                <w:rFonts w:hint="eastAsia" w:ascii="Times New Roman" w:hAnsi="Times New Roman" w:cs="Times New Roman"/>
                <w:color w:val="auto"/>
                <w:sz w:val="24"/>
                <w:szCs w:val="24"/>
                <w:lang w:val="en-US" w:eastAsia="zh-CN"/>
              </w:rPr>
              <w:t>产生量约为</w:t>
            </w:r>
            <w:r>
              <w:rPr>
                <w:rFonts w:hint="eastAsia" w:cs="Times New Roman"/>
                <w:color w:val="auto"/>
                <w:sz w:val="24"/>
                <w:szCs w:val="24"/>
                <w:lang w:val="en-US" w:eastAsia="zh-CN"/>
              </w:rPr>
              <w:t>0.5</w:t>
            </w:r>
            <w:r>
              <w:rPr>
                <w:rFonts w:hint="eastAsia" w:ascii="Times New Roman" w:hAnsi="Times New Roman" w:cs="Times New Roman"/>
                <w:color w:val="auto"/>
                <w:sz w:val="24"/>
                <w:szCs w:val="24"/>
                <w:lang w:val="en-US" w:eastAsia="zh-CN"/>
              </w:rPr>
              <w:t>t/a，</w:t>
            </w:r>
            <w:r>
              <w:rPr>
                <w:rFonts w:ascii="Times New Roman" w:hAnsi="Times New Roman" w:eastAsia="宋体" w:cs="Times New Roman"/>
                <w:sz w:val="24"/>
                <w:szCs w:val="24"/>
              </w:rPr>
              <w:t>经收集后，委托</w:t>
            </w:r>
            <w:r>
              <w:rPr>
                <w:rFonts w:hint="eastAsia" w:ascii="Times New Roman" w:hAnsi="Times New Roman" w:eastAsia="宋体" w:cs="Times New Roman"/>
                <w:b w:val="0"/>
                <w:bCs w:val="0"/>
                <w:color w:val="auto"/>
                <w:kern w:val="2"/>
                <w:sz w:val="24"/>
                <w:szCs w:val="24"/>
                <w:lang w:val="en-US" w:eastAsia="zh-CN" w:bidi="ar-SA"/>
              </w:rPr>
              <w:t>有危险废物处理资质的单位处理</w:t>
            </w:r>
            <w:r>
              <w:rPr>
                <w:rFonts w:ascii="Times New Roman" w:hAnsi="Times New Roman" w:eastAsia="宋体" w:cs="Times New Roman"/>
                <w:sz w:val="24"/>
                <w:szCs w:val="24"/>
              </w:rPr>
              <w:t>。</w:t>
            </w:r>
          </w:p>
          <w:p>
            <w:pPr>
              <w:bidi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（12）废活性炭</w:t>
            </w:r>
          </w:p>
          <w:p>
            <w:pPr>
              <w:pStyle w:val="55"/>
              <w:ind w:firstLine="480"/>
              <w:rPr>
                <w:rFonts w:hint="default" w:ascii="Times New Roman" w:hAnsi="Times New Roman"/>
                <w:color w:val="auto"/>
                <w:szCs w:val="21"/>
              </w:rPr>
            </w:pPr>
            <w:r>
              <w:rPr>
                <w:rFonts w:hint="default" w:ascii="Times New Roman" w:hAnsi="Times New Roman"/>
                <w:color w:val="auto"/>
                <w:szCs w:val="21"/>
              </w:rPr>
              <w:t>参考《分散吸附-集中再生活性炭法挥发性有机物治理体系建设技术指南（试行）》（浙江省生态环境厅，2021年11月）</w:t>
            </w:r>
            <w:r>
              <w:rPr>
                <w:rFonts w:hint="eastAsia" w:ascii="Times New Roman" w:hAnsi="Times New Roman"/>
                <w:color w:val="auto"/>
                <w:szCs w:val="21"/>
                <w:lang w:eastAsia="zh-CN"/>
              </w:rPr>
              <w:t>要求：</w:t>
            </w:r>
            <w:r>
              <w:rPr>
                <w:rFonts w:hint="default" w:ascii="Times New Roman" w:hAnsi="Times New Roman"/>
                <w:color w:val="auto"/>
                <w:szCs w:val="21"/>
              </w:rPr>
              <w:t>活性炭</w:t>
            </w:r>
            <w:r>
              <w:rPr>
                <w:rFonts w:hint="eastAsia" w:ascii="Times New Roman" w:hAnsi="Times New Roman"/>
                <w:color w:val="auto"/>
                <w:szCs w:val="21"/>
                <w:lang w:val="en-US" w:eastAsia="zh-CN"/>
              </w:rPr>
              <w:t>使用</w:t>
            </w:r>
            <w:r>
              <w:rPr>
                <w:rFonts w:hint="default" w:ascii="Times New Roman" w:hAnsi="Times New Roman"/>
                <w:color w:val="auto"/>
                <w:szCs w:val="21"/>
              </w:rPr>
              <w:t>周期一般不应超过500小时。项目年运行时间</w:t>
            </w:r>
            <w:r>
              <w:rPr>
                <w:rFonts w:hint="eastAsia" w:ascii="Times New Roman" w:hAnsi="Times New Roman"/>
                <w:color w:val="auto"/>
                <w:szCs w:val="21"/>
                <w:lang w:val="en-US" w:eastAsia="zh-CN"/>
              </w:rPr>
              <w:t>33</w:t>
            </w:r>
            <w:r>
              <w:rPr>
                <w:rFonts w:hint="default" w:ascii="Times New Roman" w:hAnsi="Times New Roman"/>
                <w:color w:val="auto"/>
                <w:szCs w:val="21"/>
              </w:rPr>
              <w:t>00h，则活性炭个能换时间为</w:t>
            </w:r>
            <w:r>
              <w:rPr>
                <w:rFonts w:hint="eastAsia" w:ascii="Times New Roman" w:hAnsi="Times New Roman"/>
                <w:color w:val="auto"/>
                <w:szCs w:val="21"/>
                <w:lang w:val="en-US" w:eastAsia="zh-CN"/>
              </w:rPr>
              <w:t>6.6</w:t>
            </w:r>
            <w:r>
              <w:rPr>
                <w:rFonts w:hint="default" w:ascii="Times New Roman" w:hAnsi="Times New Roman"/>
                <w:color w:val="auto"/>
                <w:szCs w:val="21"/>
              </w:rPr>
              <w:t>次，保险起见，需60天更换一次活性炭。</w:t>
            </w:r>
            <w:r>
              <w:rPr>
                <w:rFonts w:hint="eastAsia" w:ascii="Times New Roman" w:hAnsi="Times New Roman"/>
                <w:color w:val="auto"/>
                <w:szCs w:val="21"/>
                <w:lang w:eastAsia="zh-CN"/>
              </w:rPr>
              <w:t>根据《现代涂装手册》（化学工业出版社，2010年出版），活性炭对有机废气等成分的吸附量约为0.25g废气/g活性炭</w:t>
            </w:r>
            <w:r>
              <w:rPr>
                <w:rFonts w:hint="default" w:ascii="Times New Roman" w:hAnsi="Times New Roman"/>
                <w:color w:val="auto"/>
                <w:szCs w:val="21"/>
              </w:rPr>
              <w:t>，</w:t>
            </w:r>
            <w:r>
              <w:rPr>
                <w:rFonts w:hint="eastAsia" w:ascii="Times New Roman" w:hAnsi="Times New Roman"/>
                <w:color w:val="auto"/>
                <w:szCs w:val="21"/>
                <w:lang w:val="en-US" w:eastAsia="zh-CN"/>
              </w:rPr>
              <w:t>本项目吸附效率为80%，活性炭吸附的有机废气约为1.36t/a，使用的活性炭为5.44t/a，则</w:t>
            </w:r>
            <w:r>
              <w:rPr>
                <w:rFonts w:hint="default" w:ascii="Times New Roman" w:hAnsi="Times New Roman"/>
                <w:color w:val="auto"/>
                <w:szCs w:val="21"/>
              </w:rPr>
              <w:t>废活性炭（含吸附的废气）产生量约为</w:t>
            </w:r>
            <w:r>
              <w:rPr>
                <w:rFonts w:hint="eastAsia" w:ascii="Times New Roman" w:hAnsi="Times New Roman"/>
                <w:color w:val="auto"/>
                <w:szCs w:val="21"/>
                <w:lang w:val="en-US" w:eastAsia="zh-CN"/>
              </w:rPr>
              <w:t>6.8</w:t>
            </w:r>
            <w:r>
              <w:rPr>
                <w:rFonts w:hint="default" w:ascii="Times New Roman" w:hAnsi="Times New Roman"/>
                <w:color w:val="auto"/>
                <w:szCs w:val="21"/>
              </w:rPr>
              <w:t>t/a。根据《国家危险废物名录》，废活性炭属于HW49其他废物（废物代码为900-039-49），收集后暂存于危废间，委托有危险废物处理资质的单位处理。</w:t>
            </w:r>
          </w:p>
          <w:p>
            <w:pPr>
              <w:pStyle w:val="8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宋体"/>
                <w:b/>
                <w:bCs/>
                <w:color w:val="auto"/>
                <w:sz w:val="24"/>
                <w:szCs w:val="24"/>
                <w:highlight w:val="none"/>
                <w:lang w:val="en-US" w:eastAsia="zh-CN"/>
              </w:rPr>
            </w:pPr>
            <w:r>
              <w:rPr>
                <w:rFonts w:hint="eastAsia" w:ascii="Times New Roman" w:hAnsi="Times New Roman" w:eastAsia="宋体" w:cs="宋体"/>
                <w:b w:val="0"/>
                <w:bCs w:val="0"/>
                <w:color w:val="auto"/>
                <w:sz w:val="24"/>
                <w:szCs w:val="24"/>
                <w:highlight w:val="none"/>
                <w:lang w:val="en-US" w:eastAsia="zh-CN"/>
              </w:rPr>
              <w:t>项目固废产排情况见表4-1</w:t>
            </w:r>
            <w:r>
              <w:rPr>
                <w:rFonts w:hint="eastAsia" w:cs="宋体"/>
                <w:b w:val="0"/>
                <w:bCs w:val="0"/>
                <w:color w:val="auto"/>
                <w:sz w:val="24"/>
                <w:szCs w:val="24"/>
                <w:highlight w:val="none"/>
                <w:lang w:val="en-US" w:eastAsia="zh-CN"/>
              </w:rPr>
              <w:t>6</w:t>
            </w:r>
            <w:r>
              <w:rPr>
                <w:rFonts w:hint="eastAsia" w:ascii="Times New Roman" w:hAnsi="Times New Roman" w:eastAsia="宋体" w:cs="宋体"/>
                <w:b w:val="0"/>
                <w:bCs w:val="0"/>
                <w:color w:val="auto"/>
                <w:sz w:val="24"/>
                <w:szCs w:val="24"/>
                <w:highlight w:val="none"/>
                <w:lang w:val="en-US" w:eastAsia="zh-CN"/>
              </w:rPr>
              <w:t>，危险废物汇总详见表4-1</w:t>
            </w:r>
            <w:r>
              <w:rPr>
                <w:rFonts w:hint="eastAsia" w:cs="宋体"/>
                <w:b w:val="0"/>
                <w:bCs w:val="0"/>
                <w:color w:val="auto"/>
                <w:sz w:val="24"/>
                <w:szCs w:val="24"/>
                <w:highlight w:val="none"/>
                <w:lang w:val="en-US" w:eastAsia="zh-CN"/>
              </w:rPr>
              <w:t>7</w:t>
            </w:r>
            <w:r>
              <w:rPr>
                <w:rFonts w:hint="eastAsia" w:ascii="Times New Roman" w:hAnsi="Times New Roman" w:cs="宋体"/>
                <w:b w:val="0"/>
                <w:bCs w:val="0"/>
                <w:color w:val="auto"/>
                <w:sz w:val="24"/>
                <w:szCs w:val="24"/>
                <w:highlight w:val="none"/>
                <w:lang w:val="en-US" w:eastAsia="zh-CN"/>
              </w:rPr>
              <w:t>。</w:t>
            </w: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r>
              <w:rPr>
                <w:rFonts w:hint="default" w:ascii="Times New Roman" w:hAnsi="Times New Roman" w:eastAsia="宋体" w:cs="宋体"/>
                <w:b/>
                <w:bCs/>
                <w:color w:val="auto"/>
                <w:sz w:val="21"/>
                <w:szCs w:val="21"/>
                <w:lang w:val="en-US" w:eastAsia="zh-CN"/>
              </w:rPr>
              <w:t>表4-</w:t>
            </w:r>
            <w:r>
              <w:rPr>
                <w:rFonts w:hint="eastAsia" w:ascii="Times New Roman" w:hAnsi="Times New Roman" w:eastAsia="宋体" w:cs="宋体"/>
                <w:b/>
                <w:bCs/>
                <w:color w:val="auto"/>
                <w:sz w:val="21"/>
                <w:szCs w:val="21"/>
                <w:lang w:val="en-US" w:eastAsia="zh-CN"/>
              </w:rPr>
              <w:t>1</w:t>
            </w:r>
            <w:r>
              <w:rPr>
                <w:rFonts w:hint="eastAsia" w:cs="宋体"/>
                <w:b/>
                <w:bCs/>
                <w:color w:val="auto"/>
                <w:sz w:val="21"/>
                <w:szCs w:val="21"/>
                <w:lang w:val="en-US" w:eastAsia="zh-CN"/>
              </w:rPr>
              <w:t>6</w:t>
            </w:r>
            <w:r>
              <w:rPr>
                <w:rFonts w:hint="default" w:ascii="Times New Roman" w:hAnsi="Times New Roman" w:eastAsia="宋体" w:cs="宋体"/>
                <w:b/>
                <w:bCs/>
                <w:color w:val="auto"/>
                <w:sz w:val="21"/>
                <w:szCs w:val="21"/>
                <w:lang w:val="en-US" w:eastAsia="zh-CN"/>
              </w:rPr>
              <w:t xml:space="preserve">  项目</w:t>
            </w:r>
            <w:r>
              <w:rPr>
                <w:rFonts w:hint="eastAsia" w:ascii="Times New Roman" w:hAnsi="Times New Roman" w:eastAsia="宋体" w:cs="宋体"/>
                <w:b/>
                <w:bCs/>
                <w:color w:val="auto"/>
                <w:sz w:val="21"/>
                <w:szCs w:val="21"/>
                <w:lang w:val="en-US" w:eastAsia="zh-CN"/>
              </w:rPr>
              <w:t>一般固废产生、排放</w:t>
            </w:r>
            <w:r>
              <w:rPr>
                <w:rFonts w:hint="default" w:ascii="Times New Roman" w:hAnsi="Times New Roman" w:eastAsia="宋体" w:cs="宋体"/>
                <w:b/>
                <w:bCs/>
                <w:color w:val="auto"/>
                <w:sz w:val="21"/>
                <w:szCs w:val="21"/>
                <w:lang w:val="en-US" w:eastAsia="zh-CN"/>
              </w:rPr>
              <w:t>情况一览表</w:t>
            </w:r>
          </w:p>
          <w:tbl>
            <w:tblPr>
              <w:tblStyle w:val="27"/>
              <w:tblW w:w="4995"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190"/>
              <w:gridCol w:w="572"/>
              <w:gridCol w:w="623"/>
              <w:gridCol w:w="1107"/>
              <w:gridCol w:w="715"/>
              <w:gridCol w:w="776"/>
              <w:gridCol w:w="1169"/>
              <w:gridCol w:w="934"/>
              <w:gridCol w:w="121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1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固废名称</w:t>
                  </w:r>
                </w:p>
              </w:tc>
              <w:tc>
                <w:tcPr>
                  <w:tcW w:w="34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固废属性</w:t>
                  </w:r>
                </w:p>
              </w:tc>
              <w:tc>
                <w:tcPr>
                  <w:tcW w:w="37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物理性状</w:t>
                  </w:r>
                </w:p>
              </w:tc>
              <w:tc>
                <w:tcPr>
                  <w:tcW w:w="66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cs="Times New Roman"/>
                      <w:b/>
                      <w:i w:val="0"/>
                      <w:color w:val="auto"/>
                      <w:kern w:val="0"/>
                      <w:sz w:val="21"/>
                      <w:szCs w:val="21"/>
                      <w:u w:val="none"/>
                      <w:lang w:val="en-US" w:eastAsia="zh-CN" w:bidi="ar"/>
                    </w:rPr>
                  </w:pPr>
                  <w:r>
                    <w:rPr>
                      <w:rFonts w:hint="eastAsia" w:ascii="Times New Roman" w:hAnsi="Times New Roman" w:cs="Times New Roman"/>
                      <w:b/>
                      <w:i w:val="0"/>
                      <w:color w:val="auto"/>
                      <w:kern w:val="0"/>
                      <w:sz w:val="21"/>
                      <w:szCs w:val="21"/>
                      <w:u w:val="none"/>
                      <w:lang w:val="en-US" w:eastAsia="zh-CN" w:bidi="ar"/>
                    </w:rPr>
                    <w:t>一般固废</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eastAsia" w:ascii="Times New Roman" w:hAnsi="Times New Roman" w:cs="Times New Roman"/>
                      <w:b/>
                      <w:i w:val="0"/>
                      <w:color w:val="auto"/>
                      <w:kern w:val="0"/>
                      <w:sz w:val="21"/>
                      <w:szCs w:val="21"/>
                      <w:u w:val="none"/>
                      <w:lang w:val="en-US" w:eastAsia="zh-CN" w:bidi="ar"/>
                    </w:rPr>
                    <w:t>代码</w:t>
                  </w:r>
                </w:p>
              </w:tc>
              <w:tc>
                <w:tcPr>
                  <w:tcW w:w="4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产生量t/a</w:t>
                  </w:r>
                </w:p>
              </w:tc>
              <w:tc>
                <w:tcPr>
                  <w:tcW w:w="46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贮存</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方式</w:t>
                  </w:r>
                </w:p>
              </w:tc>
              <w:tc>
                <w:tcPr>
                  <w:tcW w:w="70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利用处置方式和去向</w:t>
                  </w:r>
                </w:p>
              </w:tc>
              <w:tc>
                <w:tcPr>
                  <w:tcW w:w="562"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利用或处置量t/a</w:t>
                  </w:r>
                </w:p>
              </w:tc>
              <w:tc>
                <w:tcPr>
                  <w:tcW w:w="73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环境管理</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16"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废包装材料</w:t>
                  </w:r>
                </w:p>
              </w:tc>
              <w:tc>
                <w:tcPr>
                  <w:tcW w:w="344"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一般固废</w:t>
                  </w:r>
                </w:p>
              </w:tc>
              <w:tc>
                <w:tcPr>
                  <w:tcW w:w="375" w:type="pct"/>
                  <w:tcBorders>
                    <w:bottom w:val="single" w:color="000000" w:sz="4" w:space="0"/>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bottom w:val="single" w:color="000000" w:sz="4" w:space="0"/>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 xml:space="preserve">404-001-07 </w:t>
                  </w:r>
                </w:p>
              </w:tc>
              <w:tc>
                <w:tcPr>
                  <w:tcW w:w="430"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467"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收集后定期交由资源回收单位回收</w:t>
                  </w:r>
                </w:p>
              </w:tc>
              <w:tc>
                <w:tcPr>
                  <w:tcW w:w="562" w:type="pct"/>
                  <w:tcBorders>
                    <w:bottom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0.5</w:t>
                  </w:r>
                </w:p>
              </w:tc>
              <w:tc>
                <w:tcPr>
                  <w:tcW w:w="733"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i w:val="0"/>
                      <w:color w:val="auto"/>
                      <w:sz w:val="21"/>
                      <w:szCs w:val="21"/>
                      <w:u w:val="none"/>
                      <w:lang w:val="en-US" w:eastAsia="zh-CN"/>
                    </w:rPr>
                  </w:pPr>
                  <w:r>
                    <w:rPr>
                      <w:rFonts w:hint="default" w:ascii="Times New Roman" w:hAnsi="Times New Roman" w:eastAsia="宋体" w:cs="Times New Roman"/>
                      <w:i w:val="0"/>
                      <w:color w:val="auto"/>
                      <w:kern w:val="0"/>
                      <w:sz w:val="21"/>
                      <w:szCs w:val="21"/>
                      <w:u w:val="none"/>
                      <w:lang w:val="en-US" w:eastAsia="zh-CN" w:bidi="ar"/>
                    </w:rPr>
                    <w:t>建立环境管理台账制度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不合格品</w:t>
                  </w:r>
                </w:p>
              </w:tc>
              <w:tc>
                <w:tcPr>
                  <w:tcW w:w="344"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404-001-14</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1</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continue"/>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color w:val="auto"/>
                      <w:sz w:val="21"/>
                      <w:szCs w:val="21"/>
                      <w:lang w:val="en-US" w:eastAsia="zh-CN"/>
                    </w:rPr>
                    <w:t>1</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废滤料、废RO膜</w:t>
                  </w:r>
                </w:p>
              </w:tc>
              <w:tc>
                <w:tcPr>
                  <w:tcW w:w="344"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404-999-99</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0.5</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continue"/>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0.5</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废玻璃</w:t>
                  </w:r>
                </w:p>
              </w:tc>
              <w:tc>
                <w:tcPr>
                  <w:tcW w:w="344"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404-001-08</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vMerge w:val="continue"/>
                  <w:tcBorders>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16" w:type="pct"/>
                  <w:tcBorders>
                    <w:top w:val="single" w:color="000000" w:sz="4" w:space="0"/>
                    <w:left w:val="nil"/>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通风系统废滤材</w:t>
                  </w:r>
                </w:p>
              </w:tc>
              <w:tc>
                <w:tcPr>
                  <w:tcW w:w="344" w:type="pct"/>
                  <w:vMerge w:val="continue"/>
                  <w:tcBorders>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c>
                <w:tcPr>
                  <w:tcW w:w="375"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666" w:type="pct"/>
                  <w:tcBorders>
                    <w:top w:val="single" w:color="000000" w:sz="4" w:space="0"/>
                    <w:bottom w:val="single" w:color="000000" w:sz="4" w:space="0"/>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auto"/>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404-999-99</w:t>
                  </w:r>
                </w:p>
              </w:tc>
              <w:tc>
                <w:tcPr>
                  <w:tcW w:w="430"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1</w:t>
                  </w:r>
                </w:p>
              </w:tc>
              <w:tc>
                <w:tcPr>
                  <w:tcW w:w="467"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袋装</w:t>
                  </w:r>
                </w:p>
              </w:tc>
              <w:tc>
                <w:tcPr>
                  <w:tcW w:w="703"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default" w:ascii="Times New Roman" w:hAnsi="Times New Roman" w:eastAsia="宋体"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收集后定期交由厂家回收</w:t>
                  </w:r>
                </w:p>
              </w:tc>
              <w:tc>
                <w:tcPr>
                  <w:tcW w:w="562" w:type="pct"/>
                  <w:tcBorders>
                    <w:top w:val="single" w:color="000000" w:sz="4" w:space="0"/>
                    <w:bottom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auto"/>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w:t>
                  </w:r>
                </w:p>
              </w:tc>
              <w:tc>
                <w:tcPr>
                  <w:tcW w:w="733"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auto"/>
                      <w:sz w:val="21"/>
                      <w:szCs w:val="21"/>
                      <w:u w:val="none"/>
                    </w:rPr>
                  </w:pPr>
                </w:p>
              </w:tc>
            </w:tr>
          </w:tbl>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b/>
                <w:bCs/>
                <w:color w:val="auto"/>
                <w:sz w:val="21"/>
                <w:szCs w:val="21"/>
                <w:lang w:val="en-US" w:eastAsia="zh-CN"/>
              </w:rPr>
            </w:pPr>
          </w:p>
          <w:p>
            <w:pPr>
              <w:pStyle w:val="8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宋体"/>
                <w:color w:val="auto"/>
                <w:sz w:val="21"/>
                <w:szCs w:val="21"/>
                <w:lang w:val="en-US" w:eastAsia="zh-CN"/>
              </w:rPr>
            </w:pPr>
            <w:r>
              <w:rPr>
                <w:rFonts w:hint="default" w:ascii="Times New Roman" w:hAnsi="Times New Roman" w:eastAsia="宋体" w:cs="宋体"/>
                <w:b/>
                <w:bCs/>
                <w:color w:val="auto"/>
                <w:sz w:val="21"/>
                <w:szCs w:val="21"/>
                <w:lang w:val="en-US" w:eastAsia="zh-CN"/>
              </w:rPr>
              <w:t>表4-</w:t>
            </w:r>
            <w:r>
              <w:rPr>
                <w:rFonts w:hint="eastAsia" w:ascii="Times New Roman" w:hAnsi="Times New Roman" w:eastAsia="宋体" w:cs="宋体"/>
                <w:b/>
                <w:bCs/>
                <w:color w:val="auto"/>
                <w:sz w:val="21"/>
                <w:szCs w:val="21"/>
                <w:lang w:val="en-US" w:eastAsia="zh-CN"/>
              </w:rPr>
              <w:t>17</w:t>
            </w:r>
            <w:r>
              <w:rPr>
                <w:rFonts w:hint="default" w:ascii="Times New Roman" w:hAnsi="Times New Roman" w:eastAsia="宋体" w:cs="宋体"/>
                <w:b/>
                <w:bCs/>
                <w:color w:val="auto"/>
                <w:sz w:val="21"/>
                <w:szCs w:val="21"/>
                <w:lang w:val="en-US" w:eastAsia="zh-CN"/>
              </w:rPr>
              <w:t xml:space="preserve">  项目</w:t>
            </w:r>
            <w:r>
              <w:rPr>
                <w:rFonts w:hint="eastAsia" w:ascii="Times New Roman" w:hAnsi="Times New Roman" w:eastAsia="宋体" w:cs="宋体"/>
                <w:b/>
                <w:bCs/>
                <w:color w:val="auto"/>
                <w:sz w:val="21"/>
                <w:szCs w:val="21"/>
                <w:lang w:val="en-US" w:eastAsia="zh-CN"/>
              </w:rPr>
              <w:t>危险废物汇总表</w:t>
            </w:r>
          </w:p>
          <w:tbl>
            <w:tblPr>
              <w:tblStyle w:val="27"/>
              <w:tblW w:w="4995"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382"/>
              <w:gridCol w:w="1066"/>
              <w:gridCol w:w="717"/>
              <w:gridCol w:w="1082"/>
              <w:gridCol w:w="791"/>
              <w:gridCol w:w="838"/>
              <w:gridCol w:w="504"/>
              <w:gridCol w:w="870"/>
              <w:gridCol w:w="562"/>
              <w:gridCol w:w="745"/>
              <w:gridCol w:w="74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序号</w:t>
                  </w:r>
                </w:p>
              </w:tc>
              <w:tc>
                <w:tcPr>
                  <w:tcW w:w="64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危险废物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名称</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危险废物类别</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危险废物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代码</w:t>
                  </w:r>
                </w:p>
              </w:tc>
              <w:tc>
                <w:tcPr>
                  <w:tcW w:w="4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eastAsia" w:ascii="Times New Roman" w:hAnsi="Times New Roman" w:eastAsia="宋体" w:cs="Times New Roman"/>
                      <w:b/>
                      <w:i w:val="0"/>
                      <w:color w:val="auto"/>
                      <w:kern w:val="0"/>
                      <w:sz w:val="21"/>
                      <w:szCs w:val="21"/>
                      <w:u w:val="none"/>
                      <w:lang w:val="en-US" w:eastAsia="zh-CN" w:bidi="ar"/>
                    </w:rPr>
                    <w:t>全厂合计</w:t>
                  </w:r>
                  <w:r>
                    <w:rPr>
                      <w:rFonts w:hint="default" w:ascii="Times New Roman" w:hAnsi="Times New Roman" w:eastAsia="宋体" w:cs="Times New Roman"/>
                      <w:b/>
                      <w:i w:val="0"/>
                      <w:color w:val="auto"/>
                      <w:kern w:val="0"/>
                      <w:sz w:val="21"/>
                      <w:szCs w:val="21"/>
                      <w:u w:val="none"/>
                      <w:lang w:val="en-US" w:eastAsia="zh-CN" w:bidi="ar"/>
                    </w:rPr>
                    <w:t>产生量t/a</w:t>
                  </w:r>
                </w:p>
              </w:tc>
              <w:tc>
                <w:tcPr>
                  <w:tcW w:w="50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产生工序及装置</w:t>
                  </w:r>
                </w:p>
              </w:tc>
              <w:tc>
                <w:tcPr>
                  <w:tcW w:w="30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形态</w:t>
                  </w:r>
                </w:p>
              </w:tc>
              <w:tc>
                <w:tcPr>
                  <w:tcW w:w="52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主要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成分</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default" w:ascii="Times New Roman" w:hAnsi="Times New Roman" w:eastAsia="宋体" w:cs="Times New Roman"/>
                      <w:b/>
                      <w:i w:val="0"/>
                      <w:color w:val="auto"/>
                      <w:kern w:val="0"/>
                      <w:sz w:val="21"/>
                      <w:szCs w:val="21"/>
                      <w:u w:val="none"/>
                      <w:lang w:val="en-US" w:eastAsia="zh-CN" w:bidi="ar"/>
                    </w:rPr>
                    <w:t>危险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特性</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b/>
                      <w:i w:val="0"/>
                      <w:color w:val="auto"/>
                      <w:kern w:val="0"/>
                      <w:sz w:val="21"/>
                      <w:szCs w:val="21"/>
                      <w:u w:val="none"/>
                      <w:lang w:val="en-US" w:eastAsia="zh-CN" w:bidi="ar"/>
                    </w:rPr>
                  </w:pPr>
                  <w:r>
                    <w:rPr>
                      <w:rFonts w:hint="eastAsia" w:ascii="Times New Roman" w:hAnsi="Times New Roman" w:eastAsia="宋体" w:cs="Times New Roman"/>
                      <w:b/>
                      <w:i w:val="0"/>
                      <w:color w:val="auto"/>
                      <w:kern w:val="0"/>
                      <w:sz w:val="21"/>
                      <w:szCs w:val="21"/>
                      <w:u w:val="none"/>
                      <w:lang w:val="en-US" w:eastAsia="zh-CN" w:bidi="ar"/>
                    </w:rPr>
                    <w:t>储存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kern w:val="0"/>
                      <w:sz w:val="21"/>
                      <w:szCs w:val="21"/>
                      <w:u w:val="none"/>
                      <w:lang w:val="en-US" w:eastAsia="zh-CN" w:bidi="ar"/>
                    </w:rPr>
                  </w:pPr>
                  <w:r>
                    <w:rPr>
                      <w:rFonts w:hint="eastAsia" w:ascii="Times New Roman" w:hAnsi="Times New Roman" w:eastAsia="宋体" w:cs="Times New Roman"/>
                      <w:b/>
                      <w:i w:val="0"/>
                      <w:color w:val="auto"/>
                      <w:kern w:val="0"/>
                      <w:sz w:val="21"/>
                      <w:szCs w:val="21"/>
                      <w:u w:val="none"/>
                      <w:lang w:val="en-US" w:eastAsia="zh-CN" w:bidi="ar"/>
                    </w:rPr>
                    <w:t>周期</w:t>
                  </w:r>
                </w:p>
              </w:tc>
              <w:tc>
                <w:tcPr>
                  <w:tcW w:w="449"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污染防治措施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化学品废</w:t>
                  </w:r>
                </w:p>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包装</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HW49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900-041-49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eastAsia="宋体" w:cs="Times New Roman"/>
                      <w:color w:val="auto"/>
                      <w:sz w:val="21"/>
                      <w:szCs w:val="21"/>
                      <w:lang w:val="en-US" w:eastAsia="zh-CN" w:bidi="zh-CN"/>
                    </w:rPr>
                    <w:t>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包装</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胶水、</w:t>
                  </w:r>
                </w:p>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酒精</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T/In</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交由有资质的单位</w:t>
                  </w:r>
                </w:p>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i w:val="0"/>
                      <w:color w:val="auto"/>
                      <w:sz w:val="21"/>
                      <w:szCs w:val="21"/>
                      <w:u w:val="none"/>
                    </w:rPr>
                  </w:pPr>
                  <w:r>
                    <w:rPr>
                      <w:rFonts w:hint="default" w:ascii="Times New Roman" w:hAnsi="Times New Roman" w:cs="Times New Roman"/>
                      <w:color w:val="auto"/>
                      <w:sz w:val="21"/>
                      <w:szCs w:val="21"/>
                    </w:rPr>
                    <w:t>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sz w:val="21"/>
                      <w:szCs w:val="21"/>
                      <w:u w:val="none"/>
                      <w:lang w:val="en-US"/>
                    </w:rPr>
                  </w:pPr>
                  <w:r>
                    <w:rPr>
                      <w:rFonts w:hint="eastAsia" w:ascii="Times New Roman" w:hAnsi="Times New Roman" w:cs="Times New Roman"/>
                      <w:i w:val="0"/>
                      <w:color w:val="auto"/>
                      <w:kern w:val="0"/>
                      <w:sz w:val="21"/>
                      <w:szCs w:val="21"/>
                      <w:u w:val="none"/>
                      <w:lang w:val="en-US" w:eastAsia="zh-CN" w:bidi="ar"/>
                    </w:rPr>
                    <w:t>2</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废无尘布、废手套</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HW49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900-041-49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ascii="Times New Roman" w:hAnsi="Times New Roman" w:eastAsia="宋体" w:cs="Times New Roman"/>
                      <w:color w:val="auto"/>
                      <w:sz w:val="21"/>
                      <w:szCs w:val="21"/>
                      <w:lang w:val="en-US" w:eastAsia="zh-CN" w:bidi="zh-CN"/>
                    </w:rPr>
                    <w:t>0.05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擦拭</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胶水、</w:t>
                  </w:r>
                </w:p>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bidi="ar-SA"/>
                    </w:rPr>
                    <w:t>酒精</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T/In</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3</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废UV灯管</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i w:val="0"/>
                      <w:color w:val="auto"/>
                      <w:kern w:val="0"/>
                      <w:sz w:val="21"/>
                      <w:szCs w:val="21"/>
                      <w:u w:val="none"/>
                      <w:lang w:val="en-US" w:eastAsia="zh-CN" w:bidi="ar"/>
                    </w:rPr>
                  </w:pPr>
                  <w:r>
                    <w:rPr>
                      <w:rFonts w:hint="eastAsia" w:ascii="Times New Roman" w:hAnsi="Times New Roman" w:eastAsia="宋体" w:cs="Times New Roman"/>
                      <w:b w:val="0"/>
                      <w:bCs w:val="0"/>
                      <w:color w:val="auto"/>
                      <w:kern w:val="2"/>
                      <w:sz w:val="21"/>
                      <w:szCs w:val="21"/>
                      <w:lang w:val="en-US" w:eastAsia="zh-CN" w:bidi="ar-SA"/>
                    </w:rPr>
                    <w:t>HW29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color w:val="auto"/>
                      <w:sz w:val="21"/>
                      <w:szCs w:val="21"/>
                    </w:rPr>
                  </w:pPr>
                  <w:r>
                    <w:rPr>
                      <w:rFonts w:hint="eastAsia" w:ascii="Times New Roman" w:hAnsi="Times New Roman" w:eastAsia="宋体" w:cs="Times New Roman"/>
                      <w:b w:val="0"/>
                      <w:bCs w:val="0"/>
                      <w:color w:val="auto"/>
                      <w:kern w:val="2"/>
                      <w:sz w:val="21"/>
                      <w:szCs w:val="21"/>
                      <w:lang w:val="en-US" w:eastAsia="zh-CN" w:bidi="ar-SA"/>
                    </w:rPr>
                    <w:t>900-023-29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eastAsia"/>
                      <w:color w:val="auto"/>
                      <w:szCs w:val="21"/>
                      <w:lang w:val="en-US" w:eastAsia="zh-CN"/>
                    </w:rPr>
                  </w:pPr>
                  <w:r>
                    <w:rPr>
                      <w:rFonts w:hint="eastAsia" w:ascii="Times New Roman" w:hAnsi="Times New Roman" w:eastAsia="宋体" w:cs="Times New Roman"/>
                      <w:color w:val="auto"/>
                      <w:sz w:val="21"/>
                      <w:szCs w:val="21"/>
                      <w:lang w:val="en-US" w:eastAsia="zh-CN" w:bidi="zh-CN"/>
                    </w:rPr>
                    <w:t>0.05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bidi="ar-SA"/>
                    </w:rPr>
                    <w:t>UV灯</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汞</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4</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废机油</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i w:val="0"/>
                      <w:color w:val="auto"/>
                      <w:kern w:val="0"/>
                      <w:sz w:val="21"/>
                      <w:szCs w:val="21"/>
                      <w:u w:val="none"/>
                      <w:lang w:val="en-US" w:eastAsia="zh-CN" w:bidi="ar"/>
                    </w:rPr>
                  </w:pPr>
                  <w:r>
                    <w:rPr>
                      <w:rFonts w:ascii="Times New Roman" w:hAnsi="Times New Roman" w:eastAsia="宋体" w:cs="Times New Roman"/>
                      <w:sz w:val="21"/>
                      <w:szCs w:val="21"/>
                    </w:rPr>
                    <w:t>HW08</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color w:val="auto"/>
                      <w:sz w:val="21"/>
                      <w:szCs w:val="21"/>
                    </w:rPr>
                  </w:pPr>
                  <w:r>
                    <w:rPr>
                      <w:rFonts w:ascii="Times New Roman" w:hAnsi="Times New Roman" w:eastAsia="宋体" w:cs="Times New Roman"/>
                      <w:sz w:val="21"/>
                      <w:szCs w:val="21"/>
                    </w:rPr>
                    <w:t>900-218-08</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eastAsia"/>
                      <w:color w:val="auto"/>
                      <w:szCs w:val="21"/>
                      <w:lang w:val="en-US" w:eastAsia="zh-CN"/>
                    </w:rPr>
                  </w:pPr>
                  <w:r>
                    <w:rPr>
                      <w:rFonts w:ascii="Times New Roman" w:hAnsi="Times New Roman" w:eastAsia="宋体" w:cs="Times New Roman"/>
                      <w:sz w:val="21"/>
                      <w:szCs w:val="21"/>
                    </w:rPr>
                    <w:t>0.1</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bidi="ar-SA"/>
                    </w:rPr>
                    <w:t>维修</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矿物油</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T，I</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i w:val="0"/>
                      <w:color w:val="auto"/>
                      <w:kern w:val="0"/>
                      <w:sz w:val="21"/>
                      <w:szCs w:val="21"/>
                      <w:u w:val="none"/>
                      <w:lang w:val="en-US" w:eastAsia="zh-CN" w:bidi="ar"/>
                    </w:rPr>
                  </w:pPr>
                  <w:r>
                    <w:rPr>
                      <w:rFonts w:hint="eastAsia" w:cs="Times New Roman"/>
                      <w:i w:val="0"/>
                      <w:color w:val="auto"/>
                      <w:kern w:val="0"/>
                      <w:sz w:val="21"/>
                      <w:szCs w:val="21"/>
                      <w:u w:val="none"/>
                      <w:lang w:val="en-US" w:eastAsia="zh-CN" w:bidi="ar"/>
                    </w:rPr>
                    <w:t>5</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废电路板</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i w:val="0"/>
                      <w:color w:val="auto"/>
                      <w:kern w:val="0"/>
                      <w:sz w:val="21"/>
                      <w:szCs w:val="21"/>
                      <w:u w:val="none"/>
                      <w:lang w:val="en-US" w:eastAsia="zh-CN" w:bidi="ar"/>
                    </w:rPr>
                  </w:pPr>
                  <w:r>
                    <w:rPr>
                      <w:rFonts w:ascii="Times New Roman" w:hAnsi="Times New Roman" w:eastAsia="宋体" w:cs="Times New Roman"/>
                      <w:sz w:val="21"/>
                      <w:szCs w:val="21"/>
                    </w:rPr>
                    <w:t>HW</w:t>
                  </w:r>
                  <w:r>
                    <w:rPr>
                      <w:rFonts w:hint="eastAsia" w:ascii="Times New Roman" w:hAnsi="Times New Roman" w:eastAsia="宋体" w:cs="Times New Roman"/>
                      <w:sz w:val="21"/>
                      <w:szCs w:val="21"/>
                      <w:lang w:val="en-US" w:eastAsia="zh-CN"/>
                    </w:rPr>
                    <w:t>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color w:val="auto"/>
                      <w:sz w:val="21"/>
                      <w:szCs w:val="21"/>
                    </w:rPr>
                  </w:pPr>
                  <w:r>
                    <w:rPr>
                      <w:rFonts w:hint="eastAsia" w:ascii="Times New Roman" w:hAnsi="Times New Roman" w:eastAsia="宋体" w:cs="Times New Roman"/>
                      <w:sz w:val="21"/>
                      <w:szCs w:val="21"/>
                    </w:rPr>
                    <w:t>900-045-49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color w:val="auto"/>
                      <w:szCs w:val="21"/>
                      <w:lang w:val="en-US" w:eastAsia="zh-CN"/>
                    </w:rPr>
                  </w:pPr>
                  <w:r>
                    <w:rPr>
                      <w:rFonts w:hint="eastAsia"/>
                      <w:color w:val="auto"/>
                      <w:szCs w:val="21"/>
                      <w:lang w:val="en-US" w:eastAsia="zh-CN"/>
                    </w:rPr>
                    <w:t>0.5</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模组装配、测试</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铜</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3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sz w:val="21"/>
                      <w:szCs w:val="21"/>
                      <w:u w:val="none"/>
                    </w:rPr>
                  </w:pPr>
                  <w:r>
                    <w:rPr>
                      <w:rFonts w:hint="eastAsia" w:cs="Times New Roman"/>
                      <w:i w:val="0"/>
                      <w:color w:val="auto"/>
                      <w:kern w:val="0"/>
                      <w:sz w:val="21"/>
                      <w:szCs w:val="21"/>
                      <w:u w:val="none"/>
                      <w:lang w:val="en-US" w:eastAsia="zh-CN" w:bidi="ar"/>
                    </w:rPr>
                    <w:t>6</w:t>
                  </w:r>
                </w:p>
              </w:tc>
              <w:tc>
                <w:tcPr>
                  <w:tcW w:w="6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废活性炭</w:t>
                  </w:r>
                </w:p>
              </w:tc>
              <w:tc>
                <w:tcPr>
                  <w:tcW w:w="43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cs="Times New Roman"/>
                      <w:i w:val="0"/>
                      <w:color w:val="auto"/>
                      <w:kern w:val="0"/>
                      <w:sz w:val="21"/>
                      <w:szCs w:val="21"/>
                      <w:u w:val="none"/>
                      <w:lang w:val="en-US" w:eastAsia="zh-CN" w:bidi="ar"/>
                    </w:rPr>
                    <w:t>HW49</w:t>
                  </w:r>
                </w:p>
              </w:tc>
              <w:tc>
                <w:tcPr>
                  <w:tcW w:w="651"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color w:val="auto"/>
                      <w:szCs w:val="21"/>
                    </w:rPr>
                    <w:t>900-039-49</w:t>
                  </w:r>
                </w:p>
              </w:tc>
              <w:tc>
                <w:tcPr>
                  <w:tcW w:w="47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240" w:lineRule="exact"/>
                    <w:ind w:left="0" w:leftChars="0" w:right="0" w:rightChars="0"/>
                    <w:jc w:val="center"/>
                    <w:rPr>
                      <w:rFonts w:hint="default" w:ascii="Times New Roman" w:hAnsi="Times New Roman" w:eastAsia="宋体" w:cs="Times New Roman"/>
                      <w:color w:val="auto"/>
                      <w:sz w:val="21"/>
                      <w:szCs w:val="21"/>
                      <w:lang w:val="en-US" w:eastAsia="zh-CN" w:bidi="zh-CN"/>
                    </w:rPr>
                  </w:pPr>
                  <w:r>
                    <w:rPr>
                      <w:rFonts w:hint="eastAsia"/>
                      <w:color w:val="auto"/>
                      <w:szCs w:val="21"/>
                      <w:lang w:val="en-US" w:eastAsia="zh-CN"/>
                    </w:rPr>
                    <w:t>6.8</w:t>
                  </w:r>
                </w:p>
              </w:tc>
              <w:tc>
                <w:tcPr>
                  <w:tcW w:w="504"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eastAsia"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废气</w:t>
                  </w:r>
                </w:p>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bidi="ar-SA"/>
                    </w:rPr>
                    <w:t>处理</w:t>
                  </w:r>
                </w:p>
              </w:tc>
              <w:tc>
                <w:tcPr>
                  <w:tcW w:w="30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固态</w:t>
                  </w:r>
                </w:p>
              </w:tc>
              <w:tc>
                <w:tcPr>
                  <w:tcW w:w="523" w:type="pct"/>
                  <w:tcBorders>
                    <w:tl2br w:val="nil"/>
                    <w:tr2bl w:val="nil"/>
                  </w:tcBorders>
                  <w:noWrap w:val="0"/>
                  <w:tcMar>
                    <w:top w:w="15" w:type="dxa"/>
                    <w:left w:w="15" w:type="dxa"/>
                    <w:right w:w="15" w:type="dxa"/>
                  </w:tcMar>
                  <w:vAlign w:val="center"/>
                </w:tcPr>
                <w:p>
                  <w:pPr>
                    <w:pStyle w:val="36"/>
                    <w:keepNext w:val="0"/>
                    <w:keepLines w:val="0"/>
                    <w:pageBreakBefore w:val="0"/>
                    <w:kinsoku/>
                    <w:wordWrap/>
                    <w:overflowPunct/>
                    <w:topLinePunct w:val="0"/>
                    <w:bidi w:val="0"/>
                    <w:adjustRightInd/>
                    <w:snapToGrid/>
                    <w:spacing w:before="0" w:after="0" w:line="240" w:lineRule="exac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eastAsia="zh-CN"/>
                    </w:rPr>
                    <w:t>废活性炭</w:t>
                  </w:r>
                </w:p>
              </w:tc>
              <w:tc>
                <w:tcPr>
                  <w:tcW w:w="33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default" w:ascii="Times New Roman" w:hAnsi="Times New Roman" w:eastAsia="宋体" w:cs="Times New Roman"/>
                      <w:b w:val="0"/>
                      <w:bCs w:val="0"/>
                      <w:color w:val="auto"/>
                      <w:kern w:val="0"/>
                      <w:sz w:val="21"/>
                      <w:szCs w:val="21"/>
                      <w:vertAlign w:val="baseline"/>
                      <w:lang w:val="en-US" w:eastAsia="zh-CN" w:bidi="ar"/>
                    </w:rPr>
                    <w:t>T</w:t>
                  </w:r>
                </w:p>
              </w:tc>
              <w:tc>
                <w:tcPr>
                  <w:tcW w:w="448"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default" w:ascii="Times New Roman" w:hAnsi="Times New Roman" w:eastAsia="宋体" w:cs="Times New Roman"/>
                      <w:b w:val="0"/>
                      <w:bCs w:val="0"/>
                      <w:color w:val="auto"/>
                      <w:kern w:val="0"/>
                      <w:sz w:val="21"/>
                      <w:szCs w:val="21"/>
                      <w:vertAlign w:val="baseline"/>
                      <w:lang w:val="en-US" w:eastAsia="zh-CN" w:bidi="ar"/>
                    </w:rPr>
                  </w:pPr>
                  <w:r>
                    <w:rPr>
                      <w:rFonts w:hint="eastAsia" w:ascii="Times New Roman" w:hAnsi="Times New Roman" w:eastAsia="宋体" w:cs="Times New Roman"/>
                      <w:b w:val="0"/>
                      <w:bCs w:val="0"/>
                      <w:color w:val="auto"/>
                      <w:kern w:val="0"/>
                      <w:sz w:val="21"/>
                      <w:szCs w:val="21"/>
                      <w:vertAlign w:val="baseline"/>
                      <w:lang w:val="en-US" w:eastAsia="zh-CN" w:bidi="ar"/>
                    </w:rPr>
                    <w:t>半年</w:t>
                  </w:r>
                </w:p>
              </w:tc>
              <w:tc>
                <w:tcPr>
                  <w:tcW w:w="449"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33"/>
                <w:rFonts w:hint="default" w:ascii="Times New Roman" w:hAnsi="Times New Roman" w:eastAsia="宋体" w:cs="Times New Roman"/>
                <w:sz w:val="24"/>
                <w:szCs w:val="24"/>
              </w:rPr>
            </w:pPr>
            <w:r>
              <w:rPr>
                <w:rFonts w:hint="eastAsia" w:ascii="Times New Roman" w:hAnsi="Times New Roman" w:eastAsia="宋体" w:cs="Times New Roman"/>
                <w:b/>
                <w:bCs/>
                <w:snapToGrid w:val="0"/>
                <w:kern w:val="0"/>
                <w:sz w:val="24"/>
                <w:szCs w:val="24"/>
                <w:lang w:eastAsia="zh-CN"/>
              </w:rPr>
              <w:t>危险废物管理要求：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lang w:val="en-US" w:eastAsia="zh-CN"/>
              </w:rPr>
            </w:pPr>
            <w:r>
              <w:rPr>
                <w:rFonts w:hint="eastAsia" w:cs="Times New Roman"/>
                <w:snapToGrid w:val="0"/>
                <w:color w:val="FF0000"/>
                <w:kern w:val="0"/>
                <w:sz w:val="24"/>
                <w:szCs w:val="24"/>
                <w:lang w:val="en-US" w:eastAsia="zh-CN"/>
              </w:rPr>
              <w:t>1）活性炭</w:t>
            </w:r>
            <w:r>
              <w:rPr>
                <w:rFonts w:hint="eastAsia" w:ascii="Times New Roman" w:hAnsi="Times New Roman"/>
                <w:bCs/>
                <w:color w:val="FF0000"/>
                <w:sz w:val="24"/>
                <w:szCs w:val="24"/>
                <w:highlight w:val="none"/>
                <w:lang w:val="en-US" w:eastAsia="zh-CN"/>
              </w:rPr>
              <w:t>处理措施具体要求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default" w:ascii="Times New Roman" w:hAnsi="Times New Roman" w:eastAsia="宋体" w:cs="Times New Roman"/>
                <w:snapToGrid w:val="0"/>
                <w:color w:val="FF0000"/>
                <w:kern w:val="0"/>
                <w:sz w:val="24"/>
                <w:szCs w:val="24"/>
              </w:rPr>
              <w:t>①废活性炭在存储时，工人需配有专用防护服，不得皮肤直接与废炭有所接触。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default" w:ascii="Times New Roman" w:hAnsi="Times New Roman" w:eastAsia="宋体" w:cs="Times New Roman"/>
                <w:snapToGrid w:val="0"/>
                <w:color w:val="FF0000"/>
                <w:kern w:val="0"/>
                <w:sz w:val="24"/>
                <w:szCs w:val="24"/>
              </w:rPr>
              <w:t>②废</w:t>
            </w:r>
            <w:r>
              <w:rPr>
                <w:rFonts w:hint="eastAsia" w:cs="Times New Roman"/>
                <w:snapToGrid w:val="0"/>
                <w:color w:val="FF0000"/>
                <w:kern w:val="0"/>
                <w:sz w:val="24"/>
                <w:szCs w:val="24"/>
                <w:lang w:val="en-US" w:eastAsia="zh-CN"/>
              </w:rPr>
              <w:t>活性</w:t>
            </w:r>
            <w:r>
              <w:rPr>
                <w:rFonts w:hint="default" w:ascii="Times New Roman" w:hAnsi="Times New Roman" w:eastAsia="宋体" w:cs="Times New Roman"/>
                <w:snapToGrid w:val="0"/>
                <w:color w:val="FF0000"/>
                <w:kern w:val="0"/>
                <w:sz w:val="24"/>
                <w:szCs w:val="24"/>
              </w:rPr>
              <w:t>炭在放置过程中需要轻拿轻放，防止废活性炭外包装出现破裂，避免废炭泄露。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default" w:ascii="Times New Roman" w:hAnsi="Times New Roman" w:eastAsia="宋体" w:cs="Times New Roman"/>
                <w:snapToGrid w:val="0"/>
                <w:color w:val="FF0000"/>
                <w:kern w:val="0"/>
                <w:sz w:val="24"/>
                <w:szCs w:val="24"/>
              </w:rPr>
              <w:t>③废活性炭需要储存在贴有固废标识的建筑室内，根据种类不同需分开，不可和不同类别的废活性炭放置在一起，以免吸附有害气体的废炭再次混合气味。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eastAsia" w:ascii="宋体" w:hAnsi="宋体" w:eastAsia="宋体" w:cs="宋体"/>
                <w:snapToGrid w:val="0"/>
                <w:color w:val="FF0000"/>
                <w:kern w:val="0"/>
                <w:sz w:val="24"/>
                <w:szCs w:val="24"/>
              </w:rPr>
              <w:t>④</w:t>
            </w:r>
            <w:r>
              <w:rPr>
                <w:rFonts w:hint="default" w:ascii="Times New Roman" w:hAnsi="Times New Roman" w:eastAsia="宋体" w:cs="Times New Roman"/>
                <w:snapToGrid w:val="0"/>
                <w:color w:val="FF0000"/>
                <w:kern w:val="0"/>
                <w:sz w:val="24"/>
                <w:szCs w:val="24"/>
              </w:rPr>
              <w:t>回收的废活性炭放置时应远离明火、电源存放。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FF0000"/>
                <w:kern w:val="0"/>
                <w:sz w:val="24"/>
                <w:szCs w:val="24"/>
              </w:rPr>
            </w:pPr>
            <w:r>
              <w:rPr>
                <w:rFonts w:hint="eastAsia" w:ascii="宋体" w:hAnsi="宋体" w:eastAsia="宋体" w:cs="宋体"/>
                <w:snapToGrid w:val="0"/>
                <w:color w:val="FF0000"/>
                <w:kern w:val="0"/>
                <w:sz w:val="24"/>
                <w:szCs w:val="24"/>
              </w:rPr>
              <w:t>⑤</w:t>
            </w:r>
            <w:r>
              <w:rPr>
                <w:rFonts w:hint="default" w:ascii="Times New Roman" w:hAnsi="Times New Roman" w:eastAsia="宋体" w:cs="Times New Roman"/>
                <w:snapToGrid w:val="0"/>
                <w:color w:val="FF0000"/>
                <w:kern w:val="0"/>
                <w:sz w:val="24"/>
                <w:szCs w:val="24"/>
              </w:rPr>
              <w:t>废炭存放时适当的保持通风，避免长期存放时出现变质发霉出现有害气体，对人体造成危害。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33"/>
                <w:rFonts w:hint="default" w:ascii="Times New Roman" w:hAnsi="Times New Roman" w:eastAsia="宋体" w:cs="Times New Roman"/>
                <w:snapToGrid w:val="0"/>
                <w:kern w:val="0"/>
                <w:sz w:val="24"/>
                <w:szCs w:val="24"/>
              </w:rPr>
            </w:pPr>
            <w:r>
              <w:rPr>
                <w:rFonts w:hint="eastAsia" w:cs="Times New Roman"/>
                <w:snapToGrid w:val="0"/>
                <w:kern w:val="0"/>
                <w:sz w:val="24"/>
                <w:szCs w:val="24"/>
                <w:lang w:val="en-US" w:eastAsia="zh-CN"/>
              </w:rPr>
              <w:t>2</w:t>
            </w:r>
            <w:r>
              <w:rPr>
                <w:rFonts w:hint="default" w:ascii="Times New Roman" w:hAnsi="Times New Roman" w:eastAsia="宋体" w:cs="Times New Roman"/>
                <w:snapToGrid w:val="0"/>
                <w:kern w:val="0"/>
                <w:sz w:val="24"/>
                <w:szCs w:val="24"/>
              </w:rPr>
              <w:t>）</w:t>
            </w:r>
            <w:r>
              <w:rPr>
                <w:rStyle w:val="33"/>
                <w:rFonts w:hint="default" w:ascii="Times New Roman" w:hAnsi="Times New Roman" w:eastAsia="宋体" w:cs="Times New Roman"/>
                <w:snapToGrid w:val="0"/>
                <w:kern w:val="0"/>
                <w:sz w:val="24"/>
                <w:szCs w:val="24"/>
              </w:rPr>
              <w:t>危险废物专用场地管理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Style w:val="33"/>
                <w:rFonts w:hint="default" w:ascii="Times New Roman" w:hAnsi="Times New Roman" w:eastAsia="宋体" w:cs="Times New Roman"/>
                <w:snapToGrid w:val="0"/>
                <w:kern w:val="0"/>
                <w:sz w:val="24"/>
                <w:szCs w:val="24"/>
              </w:rPr>
              <w:t>要求建设方设专门的危废贮存库，</w:t>
            </w:r>
            <w:r>
              <w:rPr>
                <w:rFonts w:hint="default" w:ascii="Times New Roman" w:hAnsi="Times New Roman" w:eastAsia="宋体" w:cs="Times New Roman"/>
                <w:snapToGrid w:val="0"/>
                <w:kern w:val="0"/>
                <w:sz w:val="24"/>
                <w:szCs w:val="24"/>
              </w:rPr>
              <w:t>按《危险废物贮存污染控制标准》（GB18597-2001）的要求建设。专人管理危险废物的入、出库登记台账。危险废物储存点不得放置其它物品，应配备相关的消防器材及危险废物标示。应保持储存点场地的清洁，危险废物堆放整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eastAsia" w:cs="Times New Roman"/>
                <w:snapToGrid w:val="0"/>
                <w:kern w:val="0"/>
                <w:sz w:val="24"/>
                <w:szCs w:val="24"/>
                <w:lang w:val="en-US" w:eastAsia="zh-CN"/>
              </w:rPr>
              <w:t>3</w:t>
            </w:r>
            <w:r>
              <w:rPr>
                <w:rFonts w:hint="default" w:ascii="Times New Roman" w:hAnsi="Times New Roman" w:eastAsia="宋体" w:cs="Times New Roman"/>
                <w:snapToGrid w:val="0"/>
                <w:kern w:val="0"/>
                <w:sz w:val="24"/>
                <w:szCs w:val="24"/>
              </w:rPr>
              <w:t>）危险废物台账管理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default" w:ascii="Times New Roman" w:hAnsi="Times New Roman" w:eastAsia="宋体" w:cs="Times New Roman"/>
                <w:snapToGrid w:val="0"/>
                <w:kern w:val="0"/>
                <w:sz w:val="24"/>
                <w:szCs w:val="24"/>
              </w:rPr>
              <w:t>根据《中华人民共和国固体废物污染环境防治法》第五十三条规定“产生危险废物的单位，必须按照国家有关规定制定危险废物管理计划，并向所在地县级以上地方人民政府环境保护行政主管部门申报危险废物的种类、生产量、流向、储存、处置等有关资料”的</w:t>
            </w:r>
            <w:r>
              <w:rPr>
                <w:rFonts w:hint="default" w:ascii="Times New Roman" w:hAnsi="Times New Roman" w:eastAsia="宋体" w:cs="Times New Roman"/>
                <w:snapToGrid w:val="0"/>
                <w:kern w:val="0"/>
                <w:sz w:val="24"/>
                <w:szCs w:val="24"/>
              </w:rPr>
              <w:fldChar w:fldCharType="begin"/>
            </w:r>
            <w:r>
              <w:rPr>
                <w:rFonts w:hint="default" w:ascii="Times New Roman" w:hAnsi="Times New Roman" w:eastAsia="宋体" w:cs="Times New Roman"/>
                <w:snapToGrid w:val="0"/>
                <w:kern w:val="0"/>
                <w:sz w:val="24"/>
                <w:szCs w:val="24"/>
              </w:rPr>
              <w:instrText xml:space="preserve"> HYPERLINK "http://www.gkstk.com/article/wk-78500000852696.html" \l "gkstk1" </w:instrText>
            </w:r>
            <w:r>
              <w:rPr>
                <w:rFonts w:hint="default" w:ascii="Times New Roman" w:hAnsi="Times New Roman" w:eastAsia="宋体" w:cs="Times New Roman"/>
                <w:snapToGrid w:val="0"/>
                <w:kern w:val="0"/>
                <w:sz w:val="24"/>
                <w:szCs w:val="24"/>
              </w:rPr>
              <w:fldChar w:fldCharType="separate"/>
            </w:r>
            <w:r>
              <w:rPr>
                <w:rFonts w:hint="default" w:ascii="Times New Roman" w:hAnsi="Times New Roman" w:eastAsia="宋体" w:cs="Times New Roman"/>
                <w:sz w:val="24"/>
                <w:szCs w:val="24"/>
              </w:rPr>
              <w:t>危险废物规章制度</w:t>
            </w:r>
            <w:r>
              <w:rPr>
                <w:rFonts w:hint="default" w:ascii="Times New Roman" w:hAnsi="Times New Roman" w:eastAsia="宋体" w:cs="Times New Roman"/>
                <w:snapToGrid w:val="0"/>
                <w:kern w:val="0"/>
                <w:sz w:val="24"/>
                <w:szCs w:val="24"/>
              </w:rPr>
              <w:fldChar w:fldCharType="end"/>
            </w:r>
            <w:r>
              <w:rPr>
                <w:rFonts w:hint="default" w:ascii="Times New Roman" w:hAnsi="Times New Roman" w:eastAsia="宋体" w:cs="Times New Roman"/>
                <w:snapToGrid w:val="0"/>
                <w:kern w:val="0"/>
                <w:sz w:val="24"/>
                <w:szCs w:val="24"/>
              </w:rPr>
              <w:t>，跟踪记录危险废物在生产单位内部运转的整个流程，与生产记录相结合，建立危险废物台账。危险废物的记录和货单在危险废物取回后应继续保留3年，转移联单保留不少于5年。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eastAsia" w:cs="Times New Roman"/>
                <w:snapToGrid w:val="0"/>
                <w:kern w:val="0"/>
                <w:sz w:val="24"/>
                <w:szCs w:val="24"/>
                <w:lang w:val="en-US" w:eastAsia="zh-CN"/>
              </w:rPr>
              <w:t>4</w:t>
            </w:r>
            <w:r>
              <w:rPr>
                <w:rFonts w:hint="default" w:ascii="Times New Roman" w:hAnsi="Times New Roman" w:eastAsia="宋体" w:cs="Times New Roman"/>
                <w:snapToGrid w:val="0"/>
                <w:kern w:val="0"/>
                <w:sz w:val="24"/>
                <w:szCs w:val="24"/>
              </w:rPr>
              <w:t>）危险废物运输管理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kern w:val="0"/>
                <w:sz w:val="24"/>
                <w:szCs w:val="24"/>
              </w:rPr>
            </w:pPr>
            <w:r>
              <w:rPr>
                <w:rFonts w:hint="default" w:ascii="Times New Roman" w:hAnsi="Times New Roman" w:eastAsia="宋体" w:cs="Times New Roman"/>
                <w:snapToGrid w:val="0"/>
                <w:kern w:val="0"/>
                <w:sz w:val="24"/>
                <w:szCs w:val="24"/>
              </w:rPr>
              <w:t>所有危险废物都必须回收，危险废物回收厂商回收危险废物，必须有相关资质，与公司签订回收合同，且合同报送环保局备案。运送危险废物由当地环保部门指定专业资质的运输公司，没有专运车辆的应当在危险废物集中处置场所内及时进行消毒和清洁。公司应与运输单位或个人签订防止车辆运输泄漏、遗撒协议书，对运输单位和运输车辆进行督促检查</w:t>
            </w:r>
            <w:r>
              <w:rPr>
                <w:rFonts w:hint="default" w:ascii="Times New Roman" w:hAnsi="Times New Roman" w:eastAsia="宋体" w:cs="Times New Roman"/>
                <w:snapToGrid w:val="0"/>
                <w:kern w:val="0"/>
                <w:sz w:val="24"/>
                <w:szCs w:val="24"/>
              </w:rPr>
              <w:fldChar w:fldCharType="begin"/>
            </w:r>
            <w:r>
              <w:rPr>
                <w:rFonts w:hint="default" w:ascii="Times New Roman" w:hAnsi="Times New Roman" w:eastAsia="宋体" w:cs="Times New Roman"/>
                <w:snapToGrid w:val="0"/>
                <w:kern w:val="0"/>
                <w:sz w:val="24"/>
                <w:szCs w:val="24"/>
              </w:rPr>
              <w:instrText xml:space="preserve"> HYPERLINK "http://www.gkstk.com/article/wk-78500000852696.html" \l "gkstk2" </w:instrText>
            </w:r>
            <w:r>
              <w:rPr>
                <w:rFonts w:hint="default" w:ascii="Times New Roman" w:hAnsi="Times New Roman" w:eastAsia="宋体" w:cs="Times New Roman"/>
                <w:snapToGrid w:val="0"/>
                <w:kern w:val="0"/>
                <w:sz w:val="24"/>
                <w:szCs w:val="24"/>
              </w:rPr>
              <w:fldChar w:fldCharType="separate"/>
            </w:r>
            <w:r>
              <w:rPr>
                <w:rFonts w:hint="default" w:ascii="Times New Roman" w:hAnsi="Times New Roman" w:eastAsia="宋体" w:cs="Times New Roman"/>
                <w:snapToGrid w:val="0"/>
                <w:kern w:val="0"/>
                <w:sz w:val="24"/>
                <w:szCs w:val="24"/>
              </w:rPr>
              <w:t>危险废物规章制度</w:t>
            </w:r>
            <w:r>
              <w:rPr>
                <w:rFonts w:hint="default" w:ascii="Times New Roman" w:hAnsi="Times New Roman" w:eastAsia="宋体" w:cs="Times New Roman"/>
                <w:snapToGrid w:val="0"/>
                <w:kern w:val="0"/>
                <w:sz w:val="24"/>
                <w:szCs w:val="24"/>
              </w:rPr>
              <w:fldChar w:fldCharType="end"/>
            </w:r>
            <w:r>
              <w:rPr>
                <w:rFonts w:hint="default" w:ascii="Times New Roman" w:hAnsi="Times New Roman" w:eastAsia="宋体" w:cs="Times New Roman"/>
                <w:snapToGrid w:val="0"/>
                <w:kern w:val="0"/>
                <w:sz w:val="24"/>
                <w:szCs w:val="24"/>
              </w:rPr>
              <w:t>文章</w:t>
            </w:r>
            <w:r>
              <w:rPr>
                <w:rFonts w:hint="default" w:ascii="Times New Roman" w:hAnsi="Times New Roman" w:eastAsia="宋体" w:cs="Times New Roman"/>
                <w:snapToGrid w:val="0"/>
                <w:kern w:val="0"/>
                <w:sz w:val="24"/>
                <w:szCs w:val="24"/>
              </w:rPr>
              <w:fldChar w:fldCharType="begin"/>
            </w:r>
            <w:r>
              <w:rPr>
                <w:rFonts w:hint="default" w:ascii="Times New Roman" w:hAnsi="Times New Roman" w:eastAsia="宋体" w:cs="Times New Roman"/>
                <w:snapToGrid w:val="0"/>
                <w:kern w:val="0"/>
                <w:sz w:val="24"/>
                <w:szCs w:val="24"/>
              </w:rPr>
              <w:instrText xml:space="preserve"> HYPERLINK "http://www.gkstk.com/article/wk-78500000852696.html" </w:instrText>
            </w:r>
            <w:r>
              <w:rPr>
                <w:rFonts w:hint="default" w:ascii="Times New Roman" w:hAnsi="Times New Roman" w:eastAsia="宋体" w:cs="Times New Roman"/>
                <w:snapToGrid w:val="0"/>
                <w:kern w:val="0"/>
                <w:sz w:val="24"/>
                <w:szCs w:val="24"/>
              </w:rPr>
              <w:fldChar w:fldCharType="separate"/>
            </w:r>
            <w:r>
              <w:rPr>
                <w:rFonts w:hint="default" w:ascii="Times New Roman" w:hAnsi="Times New Roman" w:eastAsia="宋体" w:cs="Times New Roman"/>
                <w:snapToGrid w:val="0"/>
                <w:kern w:val="0"/>
                <w:sz w:val="24"/>
                <w:szCs w:val="24"/>
              </w:rPr>
              <w:t>危险废物规章制度</w:t>
            </w:r>
            <w:r>
              <w:rPr>
                <w:rFonts w:hint="default" w:ascii="Times New Roman" w:hAnsi="Times New Roman" w:eastAsia="宋体" w:cs="Times New Roman"/>
                <w:snapToGrid w:val="0"/>
                <w:kern w:val="0"/>
                <w:sz w:val="24"/>
                <w:szCs w:val="24"/>
              </w:rPr>
              <w:fldChar w:fldCharType="end"/>
            </w:r>
            <w:r>
              <w:rPr>
                <w:rFonts w:hint="default" w:ascii="Times New Roman" w:hAnsi="Times New Roman" w:eastAsia="宋体" w:cs="Times New Roman"/>
                <w:snapToGrid w:val="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b/>
                <w:bCs/>
                <w:color w:val="auto"/>
                <w:sz w:val="21"/>
                <w:szCs w:val="21"/>
                <w:lang w:val="en-US" w:eastAsia="zh-CN"/>
              </w:rPr>
            </w:pPr>
            <w:r>
              <w:rPr>
                <w:rFonts w:hint="default" w:ascii="Times New Roman" w:hAnsi="Times New Roman" w:eastAsia="宋体" w:cs="Times New Roman"/>
                <w:snapToGrid w:val="0"/>
                <w:kern w:val="0"/>
                <w:sz w:val="24"/>
                <w:szCs w:val="24"/>
              </w:rPr>
              <w:t>针对一般固体废物，企业应加强一般固体废物的分类收集、贮存，各类固废严禁露天堆放，地面应做防渗处理，严格按照《中华人民共和国固体废物污染环境防治法》和《一般工业固体废物贮存和填埋污染控制标准》（GB 18599-2020）中的相关规定进行储存和管理。</w:t>
            </w:r>
          </w:p>
          <w:p>
            <w:pPr>
              <w:spacing w:line="360" w:lineRule="auto"/>
              <w:ind w:firstLine="482" w:firstLineChars="200"/>
              <w:jc w:val="left"/>
              <w:outlineLvl w:val="2"/>
              <w:rPr>
                <w:rFonts w:ascii="Times New Roman" w:hAnsi="Times New Roman"/>
                <w:b/>
                <w:sz w:val="24"/>
              </w:rPr>
            </w:pPr>
            <w:r>
              <w:rPr>
                <w:rFonts w:hint="eastAsia"/>
                <w:b/>
                <w:sz w:val="24"/>
                <w:lang w:val="en-US" w:eastAsia="zh-CN"/>
              </w:rPr>
              <w:t>5、</w:t>
            </w:r>
            <w:r>
              <w:rPr>
                <w:rFonts w:ascii="Times New Roman" w:hAnsi="Times New Roman"/>
                <w:b/>
                <w:sz w:val="24"/>
              </w:rPr>
              <w:t>地下水环境影响分析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宋体" w:eastAsia="宋体"/>
                <w:color w:val="000000" w:themeColor="text1"/>
                <w:kern w:val="2"/>
                <w:sz w:val="24"/>
                <w:szCs w:val="32"/>
                <w14:textFill>
                  <w14:solidFill>
                    <w14:schemeClr w14:val="tx1"/>
                  </w14:solidFill>
                </w14:textFill>
              </w:rPr>
            </w:pPr>
            <w:r>
              <w:rPr>
                <w:rFonts w:ascii="Times New Roman" w:hAnsi="宋体" w:eastAsia="宋体"/>
                <w:color w:val="000000" w:themeColor="text1"/>
                <w:kern w:val="2"/>
                <w:sz w:val="24"/>
                <w:szCs w:val="32"/>
                <w14:textFill>
                  <w14:solidFill>
                    <w14:schemeClr w14:val="tx1"/>
                  </w14:solidFill>
                </w14:textFill>
              </w:rPr>
              <w:t>根据《环境影响评价技术导则</w:t>
            </w:r>
            <w:r>
              <w:rPr>
                <w:rFonts w:ascii="Times New Roman" w:hAnsi="Times New Roman" w:eastAsia="宋体"/>
                <w:color w:val="000000" w:themeColor="text1"/>
                <w:kern w:val="2"/>
                <w:sz w:val="24"/>
                <w:szCs w:val="32"/>
                <w14:textFill>
                  <w14:solidFill>
                    <w14:schemeClr w14:val="tx1"/>
                  </w14:solidFill>
                </w14:textFill>
              </w:rPr>
              <w:t xml:space="preserve"> </w:t>
            </w:r>
            <w:r>
              <w:rPr>
                <w:rFonts w:ascii="Times New Roman" w:hAnsi="宋体" w:eastAsia="宋体"/>
                <w:color w:val="000000" w:themeColor="text1"/>
                <w:kern w:val="2"/>
                <w:sz w:val="24"/>
                <w:szCs w:val="32"/>
                <w14:textFill>
                  <w14:solidFill>
                    <w14:schemeClr w14:val="tx1"/>
                  </w14:solidFill>
                </w14:textFill>
              </w:rPr>
              <w:t>地下水环境》（</w:t>
            </w:r>
            <w:r>
              <w:rPr>
                <w:rFonts w:ascii="Times New Roman" w:hAnsi="Times New Roman" w:eastAsia="宋体"/>
                <w:color w:val="000000" w:themeColor="text1"/>
                <w:kern w:val="2"/>
                <w:sz w:val="24"/>
                <w:szCs w:val="32"/>
                <w14:textFill>
                  <w14:solidFill>
                    <w14:schemeClr w14:val="tx1"/>
                  </w14:solidFill>
                </w14:textFill>
              </w:rPr>
              <w:t>HJ610-2016</w:t>
            </w:r>
            <w:r>
              <w:rPr>
                <w:rFonts w:ascii="Times New Roman" w:hAnsi="宋体" w:eastAsia="宋体"/>
                <w:color w:val="000000" w:themeColor="text1"/>
                <w:kern w:val="2"/>
                <w:sz w:val="24"/>
                <w:szCs w:val="32"/>
                <w14:textFill>
                  <w14:solidFill>
                    <w14:schemeClr w14:val="tx1"/>
                  </w14:solidFill>
                </w14:textFill>
              </w:rPr>
              <w:t>）判定，本项目地下水属于Ⅳ类，不需要进行地下水环境影响评价。</w:t>
            </w:r>
          </w:p>
          <w:p>
            <w:pPr>
              <w:spacing w:line="360" w:lineRule="auto"/>
              <w:ind w:firstLine="480" w:firstLineChars="200"/>
              <w:jc w:val="left"/>
              <w:outlineLvl w:val="2"/>
              <w:rPr>
                <w:rFonts w:ascii="Times New Roman" w:hAnsi="Times New Roman"/>
                <w:b/>
                <w:sz w:val="24"/>
              </w:rPr>
            </w:pPr>
            <w:r>
              <w:rPr>
                <w:rFonts w:ascii="Times New Roman" w:hAnsi="Times New Roman"/>
                <w:sz w:val="24"/>
              </w:rPr>
              <w:t>本项目对地下水可能产生的影响主要是污水管道、池体的破损泄漏，污水处理、排放、输送系统等进行防腐防渗漏处理，本项目采取的防渗漏措施主要有：</w:t>
            </w:r>
          </w:p>
          <w:p>
            <w:pPr>
              <w:spacing w:line="360" w:lineRule="auto"/>
              <w:ind w:firstLine="480" w:firstLineChars="200"/>
              <w:jc w:val="left"/>
              <w:outlineLvl w:val="2"/>
              <w:rPr>
                <w:rFonts w:ascii="Times New Roman" w:hAnsi="Times New Roman"/>
                <w:b/>
                <w:sz w:val="24"/>
              </w:rPr>
            </w:pPr>
            <w:r>
              <w:rPr>
                <w:rFonts w:ascii="Times New Roman" w:hAnsi="Times New Roman"/>
                <w:sz w:val="24"/>
              </w:rPr>
              <w:t>选用优质设备和关键，并加强日常管理和维修维护工作，防止和减少跑冒滴漏想现象的发生。污水处理、排放、输送系统等进行防腐防渗漏处理。污水处理建构筑物四周及地面、进排水管道等输送系统采用高承载、耐腐蚀环氧砂浆地坪作防腐、防渗漏处理；排水管采用聚丙烯塑料管。管道连接处必须采取措施密封牢固，不能渗漏；管道置于管道沟内，设观察口，定期检查有无渗漏。</w:t>
            </w:r>
          </w:p>
          <w:p>
            <w:pPr>
              <w:spacing w:line="360" w:lineRule="auto"/>
              <w:ind w:firstLine="480" w:firstLineChars="200"/>
              <w:jc w:val="left"/>
              <w:outlineLvl w:val="2"/>
              <w:rPr>
                <w:rFonts w:ascii="Times New Roman" w:hAnsi="Times New Roman"/>
                <w:sz w:val="24"/>
              </w:rPr>
            </w:pPr>
            <w:r>
              <w:rPr>
                <w:rFonts w:ascii="Times New Roman" w:hAnsi="Times New Roman"/>
                <w:sz w:val="24"/>
              </w:rPr>
              <w:t>通过采取以上措施，可避免建设项目</w:t>
            </w:r>
            <w:r>
              <w:rPr>
                <w:rFonts w:hint="eastAsia" w:ascii="Times New Roman" w:hAnsi="Times New Roman"/>
                <w:sz w:val="24"/>
                <w:lang w:eastAsia="zh-CN"/>
              </w:rPr>
              <w:t>对</w:t>
            </w:r>
            <w:r>
              <w:rPr>
                <w:rFonts w:ascii="Times New Roman" w:hAnsi="Times New Roman"/>
                <w:sz w:val="24"/>
              </w:rPr>
              <w:t>地下水的污染。</w:t>
            </w:r>
          </w:p>
          <w:p>
            <w:pPr>
              <w:spacing w:line="360" w:lineRule="auto"/>
              <w:ind w:firstLine="482" w:firstLineChars="200"/>
              <w:jc w:val="left"/>
              <w:outlineLvl w:val="2"/>
              <w:rPr>
                <w:rFonts w:hint="eastAsia" w:ascii="Times New Roman" w:hAnsi="Times New Roman"/>
                <w:b/>
                <w:bCs/>
                <w:sz w:val="24"/>
                <w:lang w:eastAsia="zh-CN"/>
              </w:rPr>
            </w:pPr>
            <w:r>
              <w:rPr>
                <w:rFonts w:hint="eastAsia"/>
                <w:b/>
                <w:bCs/>
                <w:sz w:val="24"/>
                <w:lang w:val="en-US" w:eastAsia="zh-CN"/>
              </w:rPr>
              <w:t>6、</w:t>
            </w:r>
            <w:r>
              <w:rPr>
                <w:rFonts w:hint="eastAsia" w:ascii="Times New Roman" w:hAnsi="Times New Roman"/>
                <w:b/>
                <w:bCs/>
                <w:sz w:val="24"/>
                <w:lang w:eastAsia="zh-CN"/>
              </w:rPr>
              <w:t>土壤环境影响分析</w:t>
            </w:r>
          </w:p>
          <w:p>
            <w:pPr>
              <w:spacing w:line="360" w:lineRule="auto"/>
              <w:ind w:firstLine="480" w:firstLineChars="200"/>
              <w:jc w:val="left"/>
              <w:outlineLvl w:val="2"/>
              <w:rPr>
                <w:rFonts w:hint="eastAsia" w:ascii="Times New Roman" w:hAnsi="Times New Roman"/>
                <w:sz w:val="24"/>
                <w:lang w:eastAsia="zh-CN"/>
              </w:rPr>
            </w:pPr>
            <w:r>
              <w:rPr>
                <w:rFonts w:hint="eastAsia" w:ascii="Times New Roman" w:hAnsi="Times New Roman"/>
                <w:sz w:val="24"/>
                <w:lang w:eastAsia="zh-CN"/>
              </w:rPr>
              <w:t>对照《环境影响评价技术导则－土壤环境（试行）》（HJ964～2018）附录A表 A.1 土壤环境影响评价项目类别，本项目</w:t>
            </w:r>
            <w:r>
              <w:rPr>
                <w:rFonts w:hint="eastAsia"/>
                <w:sz w:val="24"/>
                <w:lang w:val="en-US" w:eastAsia="zh-CN"/>
              </w:rPr>
              <w:t>为光学仪器制造，</w:t>
            </w:r>
            <w:r>
              <w:rPr>
                <w:rFonts w:hint="eastAsia" w:ascii="Times New Roman" w:hAnsi="Times New Roman"/>
                <w:sz w:val="24"/>
                <w:lang w:eastAsia="zh-CN"/>
              </w:rPr>
              <w:t>属于III类项目</w:t>
            </w:r>
            <w:r>
              <w:rPr>
                <w:rFonts w:hint="eastAsia"/>
                <w:sz w:val="24"/>
                <w:lang w:eastAsia="zh-CN"/>
              </w:rPr>
              <w:t>；</w:t>
            </w:r>
            <w:r>
              <w:rPr>
                <w:rFonts w:hint="eastAsia" w:ascii="Times New Roman" w:hAnsi="Times New Roman"/>
                <w:sz w:val="24"/>
                <w:lang w:eastAsia="zh-CN"/>
              </w:rPr>
              <w:t>项目占地面积为</w:t>
            </w:r>
            <w:r>
              <w:rPr>
                <w:rFonts w:hint="eastAsia"/>
                <w:sz w:val="24"/>
                <w:lang w:val="en-US" w:eastAsia="zh-CN"/>
              </w:rPr>
              <w:t>5000m</w:t>
            </w:r>
            <w:r>
              <w:rPr>
                <w:rFonts w:hint="eastAsia"/>
                <w:sz w:val="24"/>
                <w:vertAlign w:val="superscript"/>
                <w:lang w:val="en-US" w:eastAsia="zh-CN"/>
              </w:rPr>
              <w:t>2</w:t>
            </w:r>
            <w:r>
              <w:rPr>
                <w:rFonts w:hint="eastAsia" w:ascii="Times New Roman" w:hAnsi="Times New Roman"/>
                <w:sz w:val="24"/>
                <w:lang w:eastAsia="zh-CN"/>
              </w:rPr>
              <w:t>，属于小型项目（≤5hm</w:t>
            </w:r>
            <w:r>
              <w:rPr>
                <w:rFonts w:hint="eastAsia" w:ascii="Times New Roman" w:hAnsi="Times New Roman"/>
                <w:sz w:val="24"/>
                <w:vertAlign w:val="superscript"/>
                <w:lang w:eastAsia="zh-CN"/>
              </w:rPr>
              <w:t>2</w:t>
            </w:r>
            <w:r>
              <w:rPr>
                <w:rFonts w:hint="eastAsia" w:ascii="Times New Roman" w:hAnsi="Times New Roman"/>
                <w:sz w:val="24"/>
                <w:lang w:eastAsia="zh-CN"/>
              </w:rPr>
              <w:t>）</w:t>
            </w:r>
            <w:r>
              <w:rPr>
                <w:rFonts w:hint="eastAsia"/>
                <w:sz w:val="24"/>
                <w:lang w:eastAsia="zh-CN"/>
              </w:rPr>
              <w:t>；</w:t>
            </w:r>
            <w:r>
              <w:rPr>
                <w:rFonts w:hint="eastAsia"/>
                <w:sz w:val="24"/>
                <w:lang w:val="en-US" w:eastAsia="zh-CN"/>
              </w:rPr>
              <w:t>项目</w:t>
            </w:r>
            <w:r>
              <w:rPr>
                <w:rFonts w:hint="eastAsia" w:ascii="Times New Roman" w:hAnsi="Times New Roman"/>
                <w:sz w:val="24"/>
                <w:lang w:eastAsia="zh-CN"/>
              </w:rPr>
              <w:t>位于江西省上饶经济技术开发区，土壤敏感程度为不敏感。因此，根据《环境影响评价技术导则－土壤环境（试行）》（HJ964～2018），判定本项目属“</w:t>
            </w:r>
            <w:r>
              <w:rPr>
                <w:rFonts w:hint="eastAsia" w:ascii="Times New Roman" w:hAnsi="Times New Roman"/>
                <w:sz w:val="24"/>
                <w:lang w:val="en-US" w:eastAsia="zh-CN"/>
              </w:rPr>
              <w:t>-</w:t>
            </w:r>
            <w:r>
              <w:rPr>
                <w:rFonts w:hint="eastAsia" w:ascii="Times New Roman" w:hAnsi="Times New Roman"/>
                <w:sz w:val="24"/>
                <w:lang w:eastAsia="zh-CN"/>
              </w:rPr>
              <w:t>”污染型影响类项目，可不开展土壤环境影响评价。分级表见下表。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cs="Times New Roman"/>
                <w:b/>
                <w:bCs/>
                <w:sz w:val="24"/>
                <w:szCs w:val="24"/>
                <w:vertAlign w:val="baseline"/>
                <w:lang w:val="en-US" w:eastAsia="zh-CN"/>
              </w:rPr>
            </w:pPr>
            <w:r>
              <w:rPr>
                <w:rFonts w:hint="eastAsia"/>
                <w:sz w:val="24"/>
                <w:szCs w:val="24"/>
                <w:lang w:val="en-US" w:eastAsia="zh-CN"/>
              </w:rPr>
              <w:t>7、</w:t>
            </w:r>
            <w:r>
              <w:rPr>
                <w:rFonts w:hint="default" w:ascii="Times New Roman" w:hAnsi="Times New Roman" w:cs="Times New Roman"/>
                <w:b/>
                <w:bCs/>
                <w:sz w:val="24"/>
                <w:szCs w:val="24"/>
                <w:vertAlign w:val="baseline"/>
                <w:lang w:val="en-US" w:eastAsia="zh-CN"/>
              </w:rPr>
              <w:t>分区防渗</w:t>
            </w:r>
          </w:p>
          <w:p>
            <w:pPr>
              <w:pStyle w:val="177"/>
              <w:ind w:firstLine="480"/>
              <w:rPr>
                <w:rFonts w:hint="eastAsia"/>
                <w:color w:val="FF0000"/>
              </w:rPr>
            </w:pPr>
            <w:r>
              <w:rPr>
                <w:rFonts w:hint="eastAsia"/>
                <w:color w:val="FF0000"/>
              </w:rPr>
              <w:t>生产废气妥善收集处理后高空排放。生活污水及生产废水收集处理构筑物在工程设计时采用混凝土构造，并按照相应的标准设置了防渗层，防止污水下渗污染地下水及土壤。在正常生产情况下，企业做好防渗处理条件下，项目废水不会直接渗入土壤，也不会对地下水造成影响。根据厂区各生产功能单元可能泄漏至地面区域的污染物性质和生产单元的构筑方式，将厂区划分为重点防渗区和一般防渗区。参照防渗标准和规范，结合目前施工过程中的可操作性和技术水平，针对不同的防渗区域采用典型防渗措施。</w:t>
            </w:r>
          </w:p>
          <w:p>
            <w:pPr>
              <w:pStyle w:val="177"/>
              <w:ind w:firstLine="480"/>
              <w:rPr>
                <w:rFonts w:hint="eastAsia"/>
                <w:color w:val="FF0000"/>
              </w:rPr>
            </w:pPr>
            <w:r>
              <w:rPr>
                <w:rFonts w:hint="eastAsia"/>
                <w:color w:val="FF0000"/>
              </w:rPr>
              <w:t>重点防渗区：指位于地下或半地下的生产功能单元，污染地下水环境的物料泄漏后，不容易被及时发现和处理的区域。主要包括危险固废暂存间</w:t>
            </w:r>
            <w:r>
              <w:rPr>
                <w:rFonts w:hint="eastAsia"/>
                <w:color w:val="FF0000"/>
                <w:lang w:eastAsia="zh-CN"/>
              </w:rPr>
              <w:t>和助剂仓库</w:t>
            </w:r>
            <w:r>
              <w:rPr>
                <w:rFonts w:hint="eastAsia"/>
                <w:color w:val="FF0000"/>
              </w:rPr>
              <w:t>。对于重点防渗区，参考《危险废物填埋污染控制标准》（GB18598-2019）防渗要求执行。重点防渗区防渗要求为：操作条件下的单位面积渗透量不大于厚度为≥6m，饱和渗透系数≤10</w:t>
            </w:r>
            <w:r>
              <w:rPr>
                <w:rFonts w:hint="eastAsia"/>
                <w:color w:val="FF0000"/>
                <w:vertAlign w:val="superscript"/>
              </w:rPr>
              <w:t>-7</w:t>
            </w:r>
            <w:r>
              <w:rPr>
                <w:rFonts w:hint="eastAsia"/>
                <w:color w:val="FF0000"/>
              </w:rPr>
              <w:t>cm/s防渗层的渗透量，防渗能力与《危险废物填埋污染控制标准》(GB18598-2019)等效。本项目</w:t>
            </w:r>
            <w:r>
              <w:rPr>
                <w:rFonts w:hint="eastAsia"/>
                <w:color w:val="FF0000"/>
                <w:lang w:eastAsia="zh-CN"/>
              </w:rPr>
              <w:t>对危废暂存间和助剂仓库</w:t>
            </w:r>
            <w:r>
              <w:rPr>
                <w:rFonts w:hint="eastAsia"/>
                <w:color w:val="FF0000"/>
              </w:rPr>
              <w:t>地面采用涂布环氧地坪</w:t>
            </w:r>
            <w:r>
              <w:rPr>
                <w:rFonts w:hint="eastAsia"/>
                <w:color w:val="FF0000"/>
                <w:lang w:eastAsia="zh-CN"/>
              </w:rPr>
              <w:t>措施</w:t>
            </w:r>
            <w:r>
              <w:rPr>
                <w:rFonts w:hint="eastAsia"/>
                <w:color w:val="FF0000"/>
              </w:rPr>
              <w:t>，防渗能力</w:t>
            </w:r>
            <w:r>
              <w:rPr>
                <w:rFonts w:hint="eastAsia"/>
                <w:color w:val="FF0000"/>
                <w:lang w:eastAsia="zh-CN"/>
              </w:rPr>
              <w:t>应</w:t>
            </w:r>
            <w:r>
              <w:rPr>
                <w:rFonts w:hint="eastAsia"/>
                <w:color w:val="FF0000"/>
              </w:rPr>
              <w:t>达到重点防渗要求</w:t>
            </w:r>
          </w:p>
          <w:p>
            <w:pPr>
              <w:pStyle w:val="177"/>
              <w:ind w:firstLine="480"/>
              <w:rPr>
                <w:rFonts w:hint="eastAsia"/>
                <w:color w:val="FF0000"/>
              </w:rPr>
            </w:pPr>
            <w:r>
              <w:rPr>
                <w:rFonts w:hint="eastAsia"/>
                <w:color w:val="FF0000"/>
              </w:rPr>
              <w:t>一般防渗区：指裸露于地面的生产功能单元，污染地下水环境的物料泄漏后容易被及时发现和处理的区域。对于本项目而言主要是车间和办公室等。对于一般防渗区，按照《一般工业固体废物贮存</w:t>
            </w:r>
            <w:r>
              <w:rPr>
                <w:rFonts w:hint="eastAsia"/>
                <w:color w:val="FF0000"/>
                <w:lang w:eastAsia="zh-CN"/>
              </w:rPr>
              <w:t>和填埋</w:t>
            </w:r>
            <w:r>
              <w:rPr>
                <w:rFonts w:hint="eastAsia"/>
                <w:color w:val="FF0000"/>
              </w:rPr>
              <w:t>污染控制标准》（GB18599－2020）、《危险废物贮存污染控制标准》（GB18597-2001）2013年修改版进行设计。一般防渗区防渗要求：操作条件下的单位面积渗透量不大于厚度为≥1.5m，渗透系数≤10</w:t>
            </w:r>
            <w:r>
              <w:rPr>
                <w:rFonts w:hint="eastAsia"/>
                <w:color w:val="FF0000"/>
                <w:vertAlign w:val="superscript"/>
              </w:rPr>
              <w:t>-7</w:t>
            </w:r>
            <w:r>
              <w:rPr>
                <w:rFonts w:hint="eastAsia"/>
                <w:color w:val="FF0000"/>
              </w:rPr>
              <w:t>cm/s防渗层的渗透量，防渗能力与《危险废物贮存污染控制标准》（GB18597-2001）2013年修改版第6.2.1条等效。</w:t>
            </w:r>
          </w:p>
          <w:p>
            <w:pPr>
              <w:pStyle w:val="177"/>
              <w:ind w:firstLine="480"/>
              <w:rPr>
                <w:rFonts w:hint="eastAsia"/>
                <w:b/>
                <w:color w:val="FF0000"/>
              </w:rPr>
            </w:pPr>
            <w:r>
              <w:rPr>
                <w:rFonts w:hint="eastAsia"/>
                <w:color w:val="FF0000"/>
              </w:rPr>
              <w:t>项目固体废物厂内均设置专门的贮存场所，厂区地面进行硬化处理，环评要求按照下表防渗标准分区设置防渗区，建立防渗设施的检漏系统，防止污染物的跑、冒、滴、漏，将污染物泄漏的环境风险事故降到最低限度。</w:t>
            </w:r>
            <w:r>
              <w:rPr>
                <w:color w:val="auto"/>
                <w:sz w:val="24"/>
                <w:szCs w:val="24"/>
              </w:rPr>
              <w:t>各单元的防腐防渗级别及措施见下表。</w:t>
            </w:r>
          </w:p>
          <w:p>
            <w:pPr>
              <w:tabs>
                <w:tab w:val="left" w:pos="1041"/>
              </w:tabs>
              <w:spacing w:line="240" w:lineRule="auto"/>
              <w:ind w:right="1" w:firstLine="480"/>
              <w:jc w:val="center"/>
              <w:rPr>
                <w:rFonts w:hint="default" w:ascii="Times New Roman" w:hAnsi="Times New Roman" w:eastAsia="宋体" w:cs="Times New Roman"/>
                <w:b/>
                <w:bCs/>
                <w:color w:val="FF0000"/>
              </w:rPr>
            </w:pPr>
            <w:r>
              <w:rPr>
                <w:rFonts w:hint="default" w:ascii="Times New Roman" w:hAnsi="Times New Roman" w:eastAsia="宋体" w:cs="Times New Roman"/>
                <w:b/>
                <w:bCs/>
                <w:color w:val="FF0000"/>
              </w:rPr>
              <w:t>表</w:t>
            </w:r>
            <w:r>
              <w:rPr>
                <w:rFonts w:hint="eastAsia" w:cs="Times New Roman"/>
                <w:b/>
                <w:bCs/>
                <w:color w:val="FF0000"/>
                <w:lang w:val="en-US" w:eastAsia="zh-CN"/>
              </w:rPr>
              <w:t xml:space="preserve">4-18 </w:t>
            </w:r>
            <w:r>
              <w:rPr>
                <w:rFonts w:hint="default" w:ascii="Times New Roman" w:hAnsi="Times New Roman" w:eastAsia="宋体" w:cs="Times New Roman"/>
                <w:b/>
                <w:bCs/>
                <w:color w:val="FF0000"/>
              </w:rPr>
              <w:t>污染防渗分区措施</w:t>
            </w:r>
          </w:p>
          <w:tbl>
            <w:tblPr>
              <w:tblStyle w:val="27"/>
              <w:tblW w:w="5000"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474"/>
              <w:gridCol w:w="1187"/>
              <w:gridCol w:w="821"/>
              <w:gridCol w:w="823"/>
              <w:gridCol w:w="883"/>
              <w:gridCol w:w="2371"/>
              <w:gridCol w:w="175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8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分区</w:t>
                  </w:r>
                </w:p>
              </w:tc>
              <w:tc>
                <w:tcPr>
                  <w:tcW w:w="71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工程内容</w:t>
                  </w:r>
                </w:p>
              </w:tc>
              <w:tc>
                <w:tcPr>
                  <w:tcW w:w="49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天然包气带防污性能</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污染控制难易程度</w:t>
                  </w:r>
                </w:p>
              </w:tc>
              <w:tc>
                <w:tcPr>
                  <w:tcW w:w="531"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污染物</w:t>
                  </w:r>
                </w:p>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类型</w:t>
                  </w:r>
                </w:p>
              </w:tc>
              <w:tc>
                <w:tcPr>
                  <w:tcW w:w="1426"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防渗标准</w:t>
                  </w:r>
                </w:p>
              </w:tc>
              <w:tc>
                <w:tcPr>
                  <w:tcW w:w="1053"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防渗技术要求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85" w:type="pct"/>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重点防渗区</w:t>
                  </w:r>
                </w:p>
              </w:tc>
              <w:tc>
                <w:tcPr>
                  <w:tcW w:w="714" w:type="pct"/>
                  <w:tcBorders>
                    <w:tl2br w:val="nil"/>
                    <w:tr2bl w:val="nil"/>
                  </w:tcBorders>
                  <w:noWrap w:val="0"/>
                  <w:vAlign w:val="center"/>
                </w:tcPr>
                <w:p>
                  <w:pPr>
                    <w:pStyle w:val="44"/>
                    <w:snapToGrid w:val="0"/>
                    <w:spacing w:line="240" w:lineRule="auto"/>
                    <w:jc w:val="center"/>
                    <w:rPr>
                      <w:rFonts w:hint="default" w:ascii="Times New Roman" w:hAnsi="Times New Roman" w:eastAsia="宋体" w:cs="Times New Roman"/>
                      <w:color w:val="FF0000"/>
                      <w:sz w:val="21"/>
                      <w:szCs w:val="21"/>
                      <w:lang w:val="en-US" w:eastAsia="zh-CN"/>
                    </w:rPr>
                  </w:pPr>
                  <w:r>
                    <w:rPr>
                      <w:rFonts w:hint="eastAsia" w:ascii="Times New Roman" w:hAnsi="Times New Roman" w:cs="Times New Roman"/>
                      <w:color w:val="FF0000"/>
                      <w:sz w:val="21"/>
                      <w:szCs w:val="21"/>
                      <w:lang w:eastAsia="zh-CN"/>
                    </w:rPr>
                    <w:t>危废暂存间、</w:t>
                  </w:r>
                  <w:r>
                    <w:rPr>
                      <w:rFonts w:hint="eastAsia" w:ascii="Times New Roman" w:hAnsi="Times New Roman" w:cs="Times New Roman"/>
                      <w:color w:val="FF0000"/>
                      <w:sz w:val="21"/>
                      <w:szCs w:val="21"/>
                      <w:lang w:val="en-US" w:eastAsia="zh-CN"/>
                    </w:rPr>
                    <w:t>原料仓库</w:t>
                  </w:r>
                </w:p>
              </w:tc>
              <w:tc>
                <w:tcPr>
                  <w:tcW w:w="49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中</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难</w:t>
                  </w:r>
                </w:p>
              </w:tc>
              <w:tc>
                <w:tcPr>
                  <w:tcW w:w="531" w:type="pct"/>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eastAsia="zh-CN"/>
                    </w:rPr>
                    <w:t>危险废物、</w:t>
                  </w:r>
                  <w:r>
                    <w:t>酒精</w:t>
                  </w:r>
                  <w:r>
                    <w:rPr>
                      <w:rFonts w:hint="eastAsia"/>
                      <w:lang w:eastAsia="zh-CN"/>
                    </w:rPr>
                    <w:t>、</w:t>
                  </w:r>
                  <w:r>
                    <w:t>紫外光胶</w:t>
                  </w:r>
                  <w:r>
                    <w:rPr>
                      <w:rFonts w:hint="eastAsia"/>
                      <w:lang w:eastAsia="zh-CN"/>
                    </w:rPr>
                    <w:t>、</w:t>
                  </w:r>
                  <w:r>
                    <w:rPr>
                      <w:rFonts w:hint="eastAsia"/>
                    </w:rPr>
                    <w:t>硅胶胶水</w:t>
                  </w:r>
                </w:p>
              </w:tc>
              <w:tc>
                <w:tcPr>
                  <w:tcW w:w="1426" w:type="pct"/>
                  <w:tcBorders>
                    <w:tl2br w:val="nil"/>
                    <w:tr2bl w:val="nil"/>
                  </w:tcBorders>
                  <w:noWrap w:val="0"/>
                  <w:vAlign w:val="center"/>
                </w:tcPr>
                <w:p>
                  <w:pPr>
                    <w:pStyle w:val="44"/>
                    <w:snapToGrid w:val="0"/>
                    <w:spacing w:line="240" w:lineRule="auto"/>
                    <w:jc w:val="center"/>
                    <w:rPr>
                      <w:rFonts w:hint="default" w:ascii="Times New Roman" w:hAnsi="Times New Roman" w:eastAsia="宋体" w:cs="Times New Roman"/>
                      <w:color w:val="FF0000"/>
                      <w:sz w:val="21"/>
                      <w:szCs w:val="21"/>
                      <w:lang w:val="en-US" w:eastAsia="zh-CN"/>
                    </w:rPr>
                  </w:pPr>
                  <w:r>
                    <w:rPr>
                      <w:rFonts w:hint="default" w:ascii="Times New Roman" w:hAnsi="Times New Roman" w:cs="Times New Roman"/>
                      <w:color w:val="FF0000"/>
                      <w:sz w:val="21"/>
                      <w:szCs w:val="21"/>
                    </w:rPr>
                    <w:t>参照《危险废物填埋污染控制标准》(GB18598-20</w:t>
                  </w:r>
                  <w:r>
                    <w:rPr>
                      <w:rFonts w:hint="eastAsia" w:ascii="Times New Roman" w:hAnsi="Times New Roman" w:cs="Times New Roman"/>
                      <w:color w:val="FF0000"/>
                      <w:sz w:val="21"/>
                      <w:szCs w:val="21"/>
                      <w:lang w:val="en-US" w:eastAsia="zh-CN"/>
                    </w:rPr>
                    <w:t>19）</w:t>
                  </w:r>
                </w:p>
              </w:tc>
              <w:tc>
                <w:tcPr>
                  <w:tcW w:w="1053"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等效粘土防渗层Mb≥6.0m，K≤1×10</w:t>
                  </w:r>
                  <w:r>
                    <w:rPr>
                      <w:rFonts w:hint="default" w:ascii="Times New Roman" w:hAnsi="Times New Roman" w:cs="Times New Roman"/>
                      <w:color w:val="FF0000"/>
                      <w:sz w:val="21"/>
                      <w:szCs w:val="21"/>
                      <w:vertAlign w:val="superscript"/>
                    </w:rPr>
                    <w:t>-7</w:t>
                  </w:r>
                  <w:r>
                    <w:rPr>
                      <w:rFonts w:hint="default" w:ascii="Times New Roman" w:hAnsi="Times New Roman" w:cs="Times New Roman"/>
                      <w:color w:val="FF0000"/>
                      <w:sz w:val="21"/>
                      <w:szCs w:val="21"/>
                    </w:rPr>
                    <w:t>cm/s</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85" w:type="pct"/>
                  <w:tcBorders>
                    <w:tl2br w:val="nil"/>
                    <w:tr2bl w:val="nil"/>
                  </w:tcBorders>
                  <w:noWrap w:val="0"/>
                  <w:vAlign w:val="center"/>
                </w:tcPr>
                <w:p>
                  <w:pPr>
                    <w:adjustRightInd w:val="0"/>
                    <w:snapToGrid w:val="0"/>
                    <w:spacing w:line="240" w:lineRule="auto"/>
                    <w:ind w:firstLine="0" w:firstLineChars="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一般防渗区</w:t>
                  </w:r>
                </w:p>
              </w:tc>
              <w:tc>
                <w:tcPr>
                  <w:tcW w:w="714" w:type="pct"/>
                  <w:tcBorders>
                    <w:tl2br w:val="nil"/>
                    <w:tr2bl w:val="nil"/>
                  </w:tcBorders>
                  <w:noWrap w:val="0"/>
                  <w:vAlign w:val="center"/>
                </w:tcPr>
                <w:p>
                  <w:pPr>
                    <w:pStyle w:val="44"/>
                    <w:snapToGrid w:val="0"/>
                    <w:spacing w:line="240" w:lineRule="auto"/>
                    <w:jc w:val="center"/>
                    <w:rPr>
                      <w:rFonts w:hint="eastAsia" w:ascii="Times New Roman" w:hAnsi="Times New Roman" w:cs="Times New Roman"/>
                      <w:color w:val="FF0000"/>
                      <w:sz w:val="21"/>
                      <w:szCs w:val="21"/>
                      <w:lang w:eastAsia="zh-CN"/>
                    </w:rPr>
                  </w:pPr>
                  <w:r>
                    <w:rPr>
                      <w:rFonts w:hint="eastAsia" w:ascii="Times New Roman" w:hAnsi="Times New Roman" w:cs="Times New Roman"/>
                      <w:color w:val="FF0000"/>
                      <w:sz w:val="21"/>
                      <w:szCs w:val="21"/>
                      <w:lang w:eastAsia="zh-CN"/>
                    </w:rPr>
                    <w:t>生产车间</w:t>
                  </w:r>
                </w:p>
              </w:tc>
              <w:tc>
                <w:tcPr>
                  <w:tcW w:w="49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中</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易</w:t>
                  </w:r>
                </w:p>
              </w:tc>
              <w:tc>
                <w:tcPr>
                  <w:tcW w:w="531" w:type="pct"/>
                  <w:tcBorders>
                    <w:tl2br w:val="nil"/>
                    <w:tr2bl w:val="nil"/>
                  </w:tcBorders>
                  <w:noWrap w:val="0"/>
                  <w:vAlign w:val="center"/>
                </w:tcPr>
                <w:p>
                  <w:pPr>
                    <w:snapToGrid w:val="0"/>
                    <w:spacing w:line="240" w:lineRule="auto"/>
                    <w:jc w:val="center"/>
                    <w:rPr>
                      <w:rFonts w:hint="eastAsia" w:cs="Times New Roman"/>
                      <w:color w:val="FF0000"/>
                      <w:sz w:val="21"/>
                      <w:szCs w:val="21"/>
                      <w:lang w:val="en-US" w:eastAsia="zh-CN"/>
                    </w:rPr>
                  </w:pPr>
                  <w:r>
                    <w:rPr>
                      <w:rFonts w:hint="eastAsia" w:cs="Times New Roman"/>
                      <w:color w:val="FF0000"/>
                      <w:sz w:val="21"/>
                      <w:szCs w:val="21"/>
                      <w:lang w:val="en-US" w:eastAsia="zh-CN"/>
                    </w:rPr>
                    <w:t>/</w:t>
                  </w:r>
                </w:p>
              </w:tc>
              <w:tc>
                <w:tcPr>
                  <w:tcW w:w="1426" w:type="pct"/>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default" w:ascii="Times New Roman" w:hAnsi="Times New Roman" w:cs="Times New Roman"/>
                      <w:color w:val="FF0000"/>
                      <w:sz w:val="21"/>
                      <w:szCs w:val="21"/>
                    </w:rPr>
                    <w:t>参照《危险废物贮存污染控制标准》（GB18597-2001</w:t>
                  </w:r>
                  <w:r>
                    <w:rPr>
                      <w:rFonts w:hint="eastAsia" w:ascii="Times New Roman" w:hAnsi="Times New Roman" w:cs="Times New Roman"/>
                      <w:color w:val="FF0000"/>
                      <w:sz w:val="21"/>
                      <w:szCs w:val="21"/>
                      <w:lang w:eastAsia="zh-CN"/>
                    </w:rPr>
                    <w:t>）</w:t>
                  </w:r>
                  <w:r>
                    <w:rPr>
                      <w:rFonts w:hint="default" w:ascii="Times New Roman" w:hAnsi="Times New Roman" w:cs="Times New Roman"/>
                      <w:color w:val="FF0000"/>
                      <w:sz w:val="21"/>
                      <w:szCs w:val="21"/>
                    </w:rPr>
                    <w:t>2013年修改版</w:t>
                  </w:r>
                  <w:r>
                    <w:rPr>
                      <w:rFonts w:hint="eastAsia" w:ascii="Times New Roman" w:hAnsi="Times New Roman" w:cs="Times New Roman"/>
                      <w:color w:val="FF0000"/>
                      <w:sz w:val="21"/>
                      <w:szCs w:val="21"/>
                      <w:lang w:eastAsia="zh-CN"/>
                    </w:rPr>
                    <w:t>和</w:t>
                  </w:r>
                  <w:r>
                    <w:rPr>
                      <w:rFonts w:hint="default" w:ascii="Times New Roman" w:hAnsi="Times New Roman" w:eastAsia="宋体" w:cs="Times New Roman"/>
                      <w:color w:val="FF0000"/>
                      <w:sz w:val="21"/>
                      <w:szCs w:val="21"/>
                    </w:rPr>
                    <w:t>《</w:t>
                  </w:r>
                  <w:r>
                    <w:rPr>
                      <w:rFonts w:hint="eastAsia" w:ascii="Times New Roman" w:hAnsi="Times New Roman" w:cs="Times New Roman"/>
                      <w:color w:val="FF0000"/>
                      <w:sz w:val="21"/>
                      <w:szCs w:val="21"/>
                      <w:lang w:val="en-US" w:eastAsia="zh-CN"/>
                    </w:rPr>
                    <w:t>一般工业固体废物贮存和填埋污染控制标准</w:t>
                  </w:r>
                  <w:r>
                    <w:rPr>
                      <w:rFonts w:hint="default" w:ascii="Times New Roman" w:hAnsi="Times New Roman" w:eastAsia="宋体" w:cs="Times New Roman"/>
                      <w:color w:val="FF0000"/>
                      <w:sz w:val="21"/>
                      <w:szCs w:val="21"/>
                    </w:rPr>
                    <w:t>》（GB18599-20</w:t>
                  </w:r>
                  <w:r>
                    <w:rPr>
                      <w:rFonts w:hint="default" w:ascii="Times New Roman" w:hAnsi="Times New Roman" w:cs="Times New Roman"/>
                      <w:color w:val="FF0000"/>
                      <w:sz w:val="21"/>
                      <w:szCs w:val="21"/>
                      <w:lang w:val="en-US" w:eastAsia="zh-CN"/>
                    </w:rPr>
                    <w:t>20</w:t>
                  </w:r>
                  <w:r>
                    <w:rPr>
                      <w:rFonts w:hint="default" w:ascii="Times New Roman" w:hAnsi="Times New Roman" w:eastAsia="宋体" w:cs="Times New Roman"/>
                      <w:color w:val="FF0000"/>
                      <w:sz w:val="21"/>
                      <w:szCs w:val="21"/>
                    </w:rPr>
                    <w:t>）</w:t>
                  </w:r>
                </w:p>
              </w:tc>
              <w:tc>
                <w:tcPr>
                  <w:tcW w:w="1053"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等效粘土防渗层Mb≥1.5m，K≤1×10</w:t>
                  </w:r>
                  <w:r>
                    <w:rPr>
                      <w:rFonts w:hint="default" w:ascii="Times New Roman" w:hAnsi="Times New Roman" w:cs="Times New Roman"/>
                      <w:color w:val="FF0000"/>
                      <w:sz w:val="21"/>
                      <w:szCs w:val="21"/>
                      <w:vertAlign w:val="superscript"/>
                    </w:rPr>
                    <w:t>-7</w:t>
                  </w:r>
                  <w:r>
                    <w:rPr>
                      <w:rFonts w:hint="default" w:ascii="Times New Roman" w:hAnsi="Times New Roman" w:cs="Times New Roman"/>
                      <w:color w:val="FF0000"/>
                      <w:sz w:val="21"/>
                      <w:szCs w:val="21"/>
                    </w:rPr>
                    <w:t>cm/s</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85" w:type="pct"/>
                  <w:tcBorders>
                    <w:tl2br w:val="nil"/>
                    <w:tr2bl w:val="nil"/>
                  </w:tcBorders>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FF0000"/>
                      <w:sz w:val="21"/>
                      <w:szCs w:val="21"/>
                      <w:lang w:eastAsia="zh-CN"/>
                    </w:rPr>
                  </w:pPr>
                  <w:r>
                    <w:rPr>
                      <w:rFonts w:hint="eastAsia" w:cs="Times New Roman"/>
                      <w:color w:val="FF0000"/>
                      <w:sz w:val="21"/>
                      <w:szCs w:val="21"/>
                      <w:lang w:eastAsia="zh-CN"/>
                    </w:rPr>
                    <w:t>简单防渗区</w:t>
                  </w:r>
                </w:p>
              </w:tc>
              <w:tc>
                <w:tcPr>
                  <w:tcW w:w="714"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lang w:val="en-US" w:eastAsia="zh-CN"/>
                    </w:rPr>
                  </w:pPr>
                  <w:r>
                    <w:rPr>
                      <w:rFonts w:hint="eastAsia" w:ascii="Times New Roman" w:hAnsi="Times New Roman" w:cs="Times New Roman"/>
                      <w:color w:val="FF0000"/>
                      <w:sz w:val="21"/>
                      <w:szCs w:val="21"/>
                      <w:lang w:eastAsia="zh-CN"/>
                    </w:rPr>
                    <w:t>办公</w:t>
                  </w:r>
                  <w:r>
                    <w:rPr>
                      <w:rFonts w:hint="eastAsia" w:ascii="Times New Roman" w:hAnsi="Times New Roman" w:cs="Times New Roman"/>
                      <w:color w:val="FF0000"/>
                      <w:sz w:val="21"/>
                      <w:szCs w:val="21"/>
                      <w:lang w:val="en-US" w:eastAsia="zh-CN"/>
                    </w:rPr>
                    <w:t>区</w:t>
                  </w:r>
                </w:p>
              </w:tc>
              <w:tc>
                <w:tcPr>
                  <w:tcW w:w="494" w:type="pct"/>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eastAsia="zh-CN"/>
                    </w:rPr>
                    <w:t>低</w:t>
                  </w:r>
                </w:p>
              </w:tc>
              <w:tc>
                <w:tcPr>
                  <w:tcW w:w="495" w:type="pct"/>
                  <w:tcBorders>
                    <w:tl2br w:val="nil"/>
                    <w:tr2bl w:val="nil"/>
                  </w:tcBorders>
                  <w:noWrap w:val="0"/>
                  <w:vAlign w:val="center"/>
                </w:tcPr>
                <w:p>
                  <w:pPr>
                    <w:pStyle w:val="44"/>
                    <w:snapToGrid w:val="0"/>
                    <w:spacing w:line="240" w:lineRule="auto"/>
                    <w:jc w:val="center"/>
                    <w:rPr>
                      <w:rFonts w:hint="default" w:ascii="Times New Roman" w:hAnsi="Times New Roman" w:cs="Times New Roman"/>
                      <w:color w:val="FF0000"/>
                      <w:sz w:val="21"/>
                      <w:szCs w:val="21"/>
                    </w:rPr>
                  </w:pPr>
                  <w:r>
                    <w:rPr>
                      <w:rFonts w:hint="eastAsia" w:ascii="Times New Roman" w:hAnsi="Times New Roman" w:cs="Times New Roman"/>
                      <w:color w:val="FF0000"/>
                      <w:sz w:val="21"/>
                      <w:szCs w:val="21"/>
                      <w:lang w:eastAsia="zh-CN"/>
                    </w:rPr>
                    <w:t>低</w:t>
                  </w:r>
                </w:p>
              </w:tc>
              <w:tc>
                <w:tcPr>
                  <w:tcW w:w="531" w:type="pct"/>
                  <w:tcBorders>
                    <w:tl2br w:val="nil"/>
                    <w:tr2bl w:val="nil"/>
                  </w:tcBorders>
                  <w:noWrap w:val="0"/>
                  <w:vAlign w:val="center"/>
                </w:tcPr>
                <w:p>
                  <w:pPr>
                    <w:snapToGrid w:val="0"/>
                    <w:spacing w:line="240" w:lineRule="auto"/>
                    <w:jc w:val="center"/>
                    <w:rPr>
                      <w:rFonts w:hint="eastAsia" w:cs="Times New Roman"/>
                      <w:color w:val="FF0000"/>
                      <w:sz w:val="21"/>
                      <w:szCs w:val="21"/>
                      <w:lang w:val="en-US" w:eastAsia="zh-CN"/>
                    </w:rPr>
                  </w:pPr>
                  <w:r>
                    <w:rPr>
                      <w:rFonts w:hint="eastAsia" w:cs="Times New Roman"/>
                      <w:color w:val="FF0000"/>
                      <w:sz w:val="21"/>
                      <w:szCs w:val="21"/>
                      <w:lang w:val="en-US" w:eastAsia="zh-CN"/>
                    </w:rPr>
                    <w:t>/</w:t>
                  </w:r>
                </w:p>
              </w:tc>
              <w:tc>
                <w:tcPr>
                  <w:tcW w:w="2480" w:type="pct"/>
                  <w:gridSpan w:val="2"/>
                  <w:tcBorders>
                    <w:tl2br w:val="nil"/>
                    <w:tr2bl w:val="nil"/>
                  </w:tcBorders>
                  <w:noWrap w:val="0"/>
                  <w:vAlign w:val="center"/>
                </w:tcPr>
                <w:p>
                  <w:pPr>
                    <w:pStyle w:val="44"/>
                    <w:snapToGrid w:val="0"/>
                    <w:spacing w:line="24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eastAsia="zh-CN"/>
                    </w:rPr>
                    <w:t>地面硬化</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jc w:val="left"/>
              <w:textAlignment w:val="auto"/>
              <w:outlineLvl w:val="2"/>
              <w:rPr>
                <w:rFonts w:ascii="Times New Roman" w:hAnsi="Times New Roman"/>
                <w:b/>
                <w:sz w:val="24"/>
              </w:rPr>
            </w:pPr>
            <w:r>
              <w:rPr>
                <w:rFonts w:hint="eastAsia"/>
                <w:b/>
                <w:sz w:val="24"/>
                <w:lang w:val="en-US" w:eastAsia="zh-CN"/>
              </w:rPr>
              <w:t>8、</w:t>
            </w:r>
            <w:r>
              <w:rPr>
                <w:rFonts w:ascii="Times New Roman" w:hAnsi="Times New Roman"/>
                <w:b/>
                <w:sz w:val="24"/>
              </w:rPr>
              <w:t>环境风险影响分析</w:t>
            </w:r>
          </w:p>
          <w:p>
            <w:pPr>
              <w:widowControl/>
              <w:overflowPunct w:val="0"/>
              <w:topLinePunct/>
              <w:autoSpaceDE w:val="0"/>
              <w:spacing w:line="360" w:lineRule="auto"/>
              <w:ind w:firstLine="480" w:firstLineChars="200"/>
              <w:textAlignment w:val="baseline"/>
              <w:rPr>
                <w:rFonts w:hint="default" w:ascii="Times New Roman" w:hAnsi="Times New Roman" w:cs="Times New Roman"/>
                <w:bCs/>
                <w:snapToGrid w:val="0"/>
                <w:sz w:val="24"/>
                <w:szCs w:val="24"/>
              </w:rPr>
            </w:pPr>
            <w:r>
              <w:rPr>
                <w:rFonts w:hint="default" w:ascii="Times New Roman" w:hAnsi="Times New Roman" w:cs="Times New Roman"/>
                <w:bCs/>
                <w:snapToGrid w:val="0"/>
                <w:sz w:val="24"/>
                <w:szCs w:val="24"/>
              </w:rPr>
              <w:t>环境风险评价是分析和预测建设项目存在的潜在危险、有害因素，项目运行期间可能发生的突发性时间或事故（不包括认为破坏及自然灾害），引起有毒有害和易燃易爆等物质泄漏，造成人身安全与环境影响和损害程度，提出防范、应急与减缓措施，使项目事故率、损失和环境影响达到可接受水平。</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（1）风险物质识别</w:t>
            </w:r>
          </w:p>
          <w:p>
            <w:pPr>
              <w:pStyle w:val="5"/>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本项目生产原料、生产工艺、贮存、运输处理过程中涉及的主要危险性物质有</w:t>
            </w:r>
            <w:r>
              <w:rPr>
                <w:rFonts w:hint="eastAsia" w:ascii="Times New Roman" w:hAnsi="Times New Roman" w:eastAsia="宋体" w:cs="Times New Roman"/>
                <w:b w:val="0"/>
                <w:bCs w:val="0"/>
                <w:sz w:val="24"/>
                <w:szCs w:val="24"/>
                <w:lang w:val="en-US" w:eastAsia="zh-CN"/>
              </w:rPr>
              <w:t>酒精</w:t>
            </w:r>
            <w:r>
              <w:rPr>
                <w:rFonts w:hint="default" w:ascii="Times New Roman" w:hAnsi="Times New Roman" w:eastAsia="宋体" w:cs="Times New Roman"/>
                <w:b w:val="0"/>
                <w:bCs w:val="0"/>
                <w:sz w:val="24"/>
                <w:szCs w:val="24"/>
                <w:lang w:val="en-US" w:eastAsia="zh-CN"/>
              </w:rPr>
              <w:t>、胶水等。各物质在本项目中的存放点及用途详见表</w:t>
            </w:r>
            <w:r>
              <w:rPr>
                <w:rFonts w:hint="eastAsia" w:ascii="Times New Roman" w:hAnsi="Times New Roman" w:eastAsia="宋体" w:cs="Times New Roman"/>
                <w:b w:val="0"/>
                <w:bCs w:val="0"/>
                <w:sz w:val="24"/>
                <w:szCs w:val="24"/>
                <w:lang w:val="en-US" w:eastAsia="zh-CN"/>
              </w:rPr>
              <w:t>4-19</w:t>
            </w:r>
            <w:r>
              <w:rPr>
                <w:rFonts w:hint="default" w:ascii="Times New Roman" w:hAnsi="Times New Roman" w:eastAsia="宋体" w:cs="Times New Roman"/>
                <w:b w:val="0"/>
                <w:bCs w:val="0"/>
                <w:sz w:val="24"/>
                <w:szCs w:val="24"/>
                <w:lang w:val="en-US" w:eastAsia="zh-CN"/>
              </w:rPr>
              <w:t>。</w:t>
            </w:r>
          </w:p>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val="en-US" w:eastAsia="zh-CN"/>
              </w:rPr>
            </w:pPr>
            <w:r>
              <w:rPr>
                <w:rFonts w:hint="default" w:ascii="Times New Roman" w:hAnsi="Times New Roman" w:cs="Times New Roman"/>
                <w:b/>
                <w:bCs/>
                <w:color w:val="auto"/>
                <w:sz w:val="21"/>
                <w:szCs w:val="21"/>
                <w:u w:val="none"/>
                <w:lang w:val="en-US" w:eastAsia="zh-CN"/>
              </w:rPr>
              <w:t>表</w:t>
            </w:r>
            <w:r>
              <w:rPr>
                <w:rFonts w:hint="eastAsia" w:ascii="Times New Roman" w:hAnsi="Times New Roman" w:cs="Times New Roman"/>
                <w:b/>
                <w:bCs/>
                <w:color w:val="auto"/>
                <w:sz w:val="21"/>
                <w:szCs w:val="21"/>
                <w:u w:val="none"/>
                <w:lang w:val="en-US" w:eastAsia="zh-CN"/>
              </w:rPr>
              <w:t>4-</w:t>
            </w:r>
            <w:r>
              <w:rPr>
                <w:rFonts w:hint="eastAsia" w:cs="Times New Roman"/>
                <w:b/>
                <w:bCs/>
                <w:color w:val="auto"/>
                <w:sz w:val="21"/>
                <w:szCs w:val="21"/>
                <w:u w:val="none"/>
                <w:lang w:val="en-US" w:eastAsia="zh-CN"/>
              </w:rPr>
              <w:t>19</w:t>
            </w:r>
            <w:r>
              <w:rPr>
                <w:rFonts w:hint="default" w:ascii="Times New Roman" w:hAnsi="Times New Roman" w:cs="Times New Roman"/>
                <w:b/>
                <w:bCs/>
                <w:color w:val="auto"/>
                <w:sz w:val="21"/>
                <w:szCs w:val="21"/>
                <w:u w:val="none"/>
                <w:lang w:val="en-US" w:eastAsia="zh-CN"/>
              </w:rPr>
              <w:t xml:space="preserve">  </w:t>
            </w:r>
            <w:r>
              <w:rPr>
                <w:rFonts w:hint="eastAsia" w:ascii="Times New Roman" w:hAnsi="Times New Roman" w:cs="Times New Roman"/>
                <w:b/>
                <w:bCs/>
                <w:color w:val="auto"/>
                <w:sz w:val="21"/>
                <w:szCs w:val="21"/>
                <w:u w:val="none"/>
                <w:lang w:val="en-US" w:eastAsia="zh-CN"/>
              </w:rPr>
              <w:t>本项目</w:t>
            </w:r>
            <w:r>
              <w:rPr>
                <w:rFonts w:hint="default" w:ascii="Times New Roman" w:hAnsi="Times New Roman" w:cs="Times New Roman"/>
                <w:b/>
                <w:bCs/>
                <w:color w:val="auto"/>
                <w:sz w:val="21"/>
                <w:szCs w:val="21"/>
                <w:u w:val="none"/>
                <w:lang w:val="en-US" w:eastAsia="zh-CN"/>
              </w:rPr>
              <w:t>主要有毒有害物质一览表</w:t>
            </w:r>
          </w:p>
          <w:tbl>
            <w:tblPr>
              <w:tblStyle w:val="2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438"/>
              <w:gridCol w:w="1178"/>
              <w:gridCol w:w="1802"/>
              <w:gridCol w:w="651"/>
              <w:gridCol w:w="856"/>
              <w:gridCol w:w="1047"/>
              <w:gridCol w:w="1086"/>
              <w:gridCol w:w="12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trPr>
              <w:tc>
                <w:tcPr>
                  <w:tcW w:w="43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序号</w:t>
                  </w:r>
                </w:p>
              </w:tc>
              <w:tc>
                <w:tcPr>
                  <w:tcW w:w="117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名称</w:t>
                  </w:r>
                </w:p>
              </w:tc>
              <w:tc>
                <w:tcPr>
                  <w:tcW w:w="1802"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贮存地点</w:t>
                  </w:r>
                </w:p>
              </w:tc>
              <w:tc>
                <w:tcPr>
                  <w:tcW w:w="651"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形态</w:t>
                  </w:r>
                </w:p>
              </w:tc>
              <w:tc>
                <w:tcPr>
                  <w:tcW w:w="85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eastAsia" w:ascii="Times New Roman" w:hAnsi="Times New Roman" w:cs="Times New Roman"/>
                      <w:b/>
                      <w:bCs/>
                      <w:color w:val="auto"/>
                      <w:sz w:val="21"/>
                      <w:szCs w:val="21"/>
                      <w:u w:val="none"/>
                      <w:lang w:val="en-US" w:eastAsia="zh-CN"/>
                    </w:rPr>
                    <w:t>最大储量</w:t>
                  </w:r>
                  <w:r>
                    <w:rPr>
                      <w:rFonts w:hint="default" w:ascii="Times New Roman" w:hAnsi="Times New Roman" w:cs="Times New Roman"/>
                      <w:b/>
                      <w:bCs/>
                      <w:color w:val="auto"/>
                      <w:sz w:val="21"/>
                      <w:szCs w:val="21"/>
                      <w:u w:val="none"/>
                      <w:lang w:val="en-US" w:eastAsia="zh-CN"/>
                    </w:rPr>
                    <w:t>（t）</w:t>
                  </w:r>
                </w:p>
              </w:tc>
              <w:tc>
                <w:tcPr>
                  <w:tcW w:w="1047"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eastAsia="zh-CN"/>
                    </w:rPr>
                  </w:pPr>
                  <w:r>
                    <w:rPr>
                      <w:rFonts w:hint="default" w:ascii="Times New Roman" w:hAnsi="Times New Roman" w:cs="Times New Roman"/>
                      <w:b/>
                      <w:bCs/>
                      <w:color w:val="auto"/>
                      <w:sz w:val="21"/>
                      <w:szCs w:val="21"/>
                      <w:u w:val="none"/>
                      <w:lang w:val="en-US" w:eastAsia="zh-CN"/>
                    </w:rPr>
                    <w:t>主要用途</w:t>
                  </w:r>
                </w:p>
              </w:tc>
              <w:tc>
                <w:tcPr>
                  <w:tcW w:w="108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b/>
                      <w:bCs/>
                      <w:color w:val="auto"/>
                      <w:sz w:val="21"/>
                      <w:szCs w:val="21"/>
                      <w:u w:val="none"/>
                      <w:lang w:val="en-US" w:eastAsia="zh-CN"/>
                    </w:rPr>
                  </w:pPr>
                  <w:r>
                    <w:rPr>
                      <w:rFonts w:hint="eastAsia" w:ascii="Times New Roman" w:hAnsi="Times New Roman" w:cs="Times New Roman"/>
                      <w:b/>
                      <w:bCs/>
                      <w:color w:val="auto"/>
                      <w:sz w:val="21"/>
                      <w:szCs w:val="21"/>
                      <w:u w:val="none"/>
                      <w:lang w:val="en-US" w:eastAsia="zh-CN"/>
                    </w:rPr>
                    <w:t>是否属于危险物质</w:t>
                  </w:r>
                </w:p>
              </w:tc>
              <w:tc>
                <w:tcPr>
                  <w:tcW w:w="1254"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eastAsia" w:ascii="Times New Roman" w:hAnsi="Times New Roman" w:cs="Times New Roman"/>
                      <w:b/>
                      <w:bCs/>
                      <w:color w:val="auto"/>
                      <w:sz w:val="21"/>
                      <w:szCs w:val="21"/>
                      <w:u w:val="none"/>
                      <w:lang w:val="en-US" w:eastAsia="zh-CN"/>
                    </w:rPr>
                  </w:pPr>
                  <w:r>
                    <w:rPr>
                      <w:rFonts w:hint="eastAsia" w:ascii="Times New Roman" w:hAnsi="Times New Roman" w:cs="Times New Roman"/>
                      <w:b/>
                      <w:bCs/>
                      <w:color w:val="auto"/>
                      <w:sz w:val="21"/>
                      <w:szCs w:val="21"/>
                      <w:u w:val="none"/>
                      <w:lang w:val="en-US" w:eastAsia="zh-CN"/>
                    </w:rPr>
                    <w:t>临界量（t）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trPr>
              <w:tc>
                <w:tcPr>
                  <w:tcW w:w="43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1</w:t>
                  </w:r>
                </w:p>
              </w:tc>
              <w:tc>
                <w:tcPr>
                  <w:tcW w:w="117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eastAsia" w:cs="Times New Roman"/>
                      <w:b w:val="0"/>
                      <w:bCs w:val="0"/>
                      <w:sz w:val="21"/>
                      <w:szCs w:val="21"/>
                      <w:lang w:val="en-US" w:eastAsia="zh-CN"/>
                    </w:rPr>
                    <w:t>酒精</w:t>
                  </w:r>
                </w:p>
              </w:tc>
              <w:tc>
                <w:tcPr>
                  <w:tcW w:w="1802"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仓库</w:t>
                  </w:r>
                </w:p>
              </w:tc>
              <w:tc>
                <w:tcPr>
                  <w:tcW w:w="651"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液态</w:t>
                  </w:r>
                </w:p>
              </w:tc>
              <w:tc>
                <w:tcPr>
                  <w:tcW w:w="85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0.4</w:t>
                  </w:r>
                </w:p>
              </w:tc>
              <w:tc>
                <w:tcPr>
                  <w:tcW w:w="1047"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eastAsia" w:cs="Times New Roman"/>
                      <w:color w:val="auto"/>
                      <w:sz w:val="21"/>
                      <w:szCs w:val="21"/>
                      <w:u w:val="none"/>
                      <w:lang w:val="en-US" w:eastAsia="zh-CN"/>
                    </w:rPr>
                    <w:t>擦拭</w:t>
                  </w:r>
                </w:p>
              </w:tc>
              <w:tc>
                <w:tcPr>
                  <w:tcW w:w="108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是</w:t>
                  </w:r>
                </w:p>
              </w:tc>
              <w:tc>
                <w:tcPr>
                  <w:tcW w:w="1254"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eastAsia"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0" w:hRule="atLeast"/>
              </w:trPr>
              <w:tc>
                <w:tcPr>
                  <w:tcW w:w="43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eastAsia" w:ascii="Times New Roman" w:hAnsi="Times New Roman" w:cs="Times New Roman"/>
                      <w:color w:val="auto"/>
                      <w:sz w:val="21"/>
                      <w:szCs w:val="21"/>
                      <w:u w:val="none"/>
                      <w:lang w:val="en-US" w:eastAsia="zh-CN"/>
                    </w:rPr>
                    <w:t>2</w:t>
                  </w:r>
                </w:p>
              </w:tc>
              <w:tc>
                <w:tcPr>
                  <w:tcW w:w="1178"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eastAsia="zh-CN"/>
                    </w:rPr>
                    <w:t>紫外光胶</w:t>
                  </w:r>
                </w:p>
              </w:tc>
              <w:tc>
                <w:tcPr>
                  <w:tcW w:w="1802"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仓库</w:t>
                  </w:r>
                </w:p>
              </w:tc>
              <w:tc>
                <w:tcPr>
                  <w:tcW w:w="651"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液态</w:t>
                  </w:r>
                </w:p>
              </w:tc>
              <w:tc>
                <w:tcPr>
                  <w:tcW w:w="85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0.045</w:t>
                  </w:r>
                </w:p>
              </w:tc>
              <w:tc>
                <w:tcPr>
                  <w:tcW w:w="1047"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胶合</w:t>
                  </w:r>
                </w:p>
              </w:tc>
              <w:tc>
                <w:tcPr>
                  <w:tcW w:w="1086"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是</w:t>
                  </w:r>
                </w:p>
              </w:tc>
              <w:tc>
                <w:tcPr>
                  <w:tcW w:w="1254" w:type="dxa"/>
                  <w:tcBorders>
                    <w:tl2br w:val="nil"/>
                    <w:tr2bl w:val="nil"/>
                  </w:tcBorders>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before="0" w:after="0" w:line="0" w:lineRule="atLeast"/>
                    <w:ind w:left="0" w:leftChars="0" w:right="0" w:rightChars="0" w:firstLine="0" w:firstLineChars="0"/>
                    <w:jc w:val="center"/>
                    <w:textAlignment w:val="auto"/>
                    <w:outlineLvl w:val="9"/>
                    <w:rPr>
                      <w:rFonts w:hint="default" w:ascii="Times New Roman" w:hAnsi="Times New Roman" w:cs="Times New Roman"/>
                      <w:color w:val="auto"/>
                      <w:sz w:val="21"/>
                      <w:szCs w:val="21"/>
                      <w:u w:val="none"/>
                      <w:lang w:val="en-US" w:eastAsia="zh-CN"/>
                    </w:rPr>
                  </w:pPr>
                  <w:r>
                    <w:rPr>
                      <w:rFonts w:hint="eastAsia" w:cs="Times New Roman"/>
                      <w:color w:val="auto"/>
                      <w:sz w:val="21"/>
                      <w:szCs w:val="21"/>
                      <w:u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default" w:ascii="Times New Roman" w:hAnsi="Times New Roman" w:eastAsia="宋体" w:cs="Times New Roman"/>
                <w:color w:val="FF0000"/>
                <w:sz w:val="24"/>
                <w:szCs w:val="24"/>
                <w:lang w:val="en-US" w:eastAsia="zh-CN"/>
              </w:rPr>
            </w:pPr>
            <w:r>
              <w:rPr>
                <w:rFonts w:hint="eastAsia" w:cs="Times New Roman"/>
                <w:b/>
                <w:bCs/>
                <w:color w:val="FF0000"/>
                <w:sz w:val="21"/>
                <w:szCs w:val="21"/>
                <w:lang w:val="en-US" w:eastAsia="zh-CN"/>
              </w:rPr>
              <w:t>注：酒精临界量根据《危险化学品重大危险源临界量》</w:t>
            </w:r>
            <w:r>
              <w:rPr>
                <w:rFonts w:hint="eastAsia" w:ascii="宋体" w:hAnsi="宋体" w:eastAsia="宋体" w:cs="宋体"/>
                <w:b/>
                <w:bCs/>
                <w:color w:val="FF0000"/>
                <w:sz w:val="21"/>
                <w:szCs w:val="21"/>
                <w:lang w:val="en-US" w:eastAsia="zh-CN"/>
              </w:rPr>
              <w:t>(</w:t>
            </w:r>
            <w:r>
              <w:rPr>
                <w:rFonts w:hint="default" w:ascii="Times New Roman" w:hAnsi="Times New Roman" w:eastAsia="宋体" w:cs="Times New Roman"/>
                <w:b/>
                <w:bCs/>
                <w:color w:val="FF0000"/>
                <w:sz w:val="21"/>
                <w:szCs w:val="21"/>
                <w:lang w:val="en-US" w:eastAsia="zh-CN"/>
              </w:rPr>
              <w:t>GB18218-2018</w:t>
            </w:r>
            <w:r>
              <w:rPr>
                <w:rFonts w:hint="eastAsia" w:ascii="宋体" w:hAnsi="宋体" w:eastAsia="宋体" w:cs="宋体"/>
                <w:b/>
                <w:bCs/>
                <w:color w:val="FF0000"/>
                <w:sz w:val="21"/>
                <w:szCs w:val="21"/>
                <w:lang w:val="en-US" w:eastAsia="zh-CN"/>
              </w:rPr>
              <w:t>)表1确定，紫外光胶临界量根据</w:t>
            </w:r>
            <w:r>
              <w:rPr>
                <w:rFonts w:hint="default" w:ascii="Times New Roman" w:hAnsi="Times New Roman" w:cs="Times New Roman"/>
                <w:b/>
                <w:bCs/>
                <w:color w:val="FF0000"/>
                <w:sz w:val="21"/>
                <w:szCs w:val="21"/>
              </w:rPr>
              <w:t>《建设项目环境风险评价技术导则》（HJ 169-2018）</w:t>
            </w:r>
            <w:r>
              <w:rPr>
                <w:rFonts w:hint="eastAsia" w:ascii="Times New Roman" w:hAnsi="Times New Roman" w:cs="Times New Roman"/>
                <w:b/>
                <w:bCs/>
                <w:color w:val="FF0000"/>
                <w:sz w:val="21"/>
                <w:szCs w:val="21"/>
                <w:lang w:val="en-US" w:eastAsia="zh-CN"/>
              </w:rPr>
              <w:t>附录B表B.2中危害水环境物质确定。</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）危险物质数量与临界量比值Q的确定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计算所涉及的每种危险物质在厂界内的最大存在总量与其在附录B中对应临界量的比值Q。在不同厂区的同一种物质，按其在厂界内的最大存在总量计算。对于长输管线项目，按照两个截断阀室之间管段危险物质最大存在总量计算。</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当只涉及一种危险物质时，计算该物质的总量与其临界量比值，即为Q；</w:t>
            </w:r>
          </w:p>
          <w:p>
            <w:pPr>
              <w:autoSpaceDE w:val="0"/>
              <w:autoSpaceDN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当存在多种危险物质时，则按下式计算物质总量与其临界量比值（Q）：</w:t>
            </w:r>
          </w:p>
          <w:p>
            <w:pPr>
              <w:spacing w:line="360" w:lineRule="auto"/>
              <w:ind w:firstLine="480" w:firstLineChars="200"/>
              <w:jc w:val="center"/>
              <w:rPr>
                <w:rFonts w:hint="default" w:ascii="Times New Roman" w:hAnsi="Times New Roman" w:cs="Times New Roman"/>
                <w:sz w:val="24"/>
                <w:szCs w:val="24"/>
              </w:rPr>
            </w:pPr>
            <w:r>
              <w:rPr>
                <w:rFonts w:hint="default" w:ascii="Times New Roman" w:hAnsi="Times New Roman" w:eastAsia="TimesNewRomanPSMT" w:cs="Times New Roman"/>
                <w:sz w:val="24"/>
                <w:szCs w:val="24"/>
              </w:rPr>
              <w:t>Q=q</w:t>
            </w:r>
            <w:r>
              <w:rPr>
                <w:rFonts w:hint="default" w:ascii="Times New Roman" w:hAnsi="Times New Roman" w:eastAsia="TimesNewRomanPSMT" w:cs="Times New Roman"/>
                <w:sz w:val="24"/>
                <w:szCs w:val="24"/>
                <w:vertAlign w:val="subscript"/>
              </w:rPr>
              <w:t>1</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1</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式中：</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1</w:t>
            </w:r>
            <w:r>
              <w:rPr>
                <w:rFonts w:hint="default" w:ascii="Times New Roman" w:hAnsi="Times New Roman" w:cs="Times New Roman"/>
                <w:sz w:val="24"/>
                <w:szCs w:val="24"/>
              </w:rPr>
              <w:t>，</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r>
              <w:rPr>
                <w:rFonts w:hint="default" w:ascii="Times New Roman" w:hAnsi="Times New Roman" w:cs="Times New Roman"/>
                <w:sz w:val="24"/>
                <w:szCs w:val="24"/>
              </w:rPr>
              <w:t>——每种危险物质的最大存在总量，</w:t>
            </w:r>
            <w:r>
              <w:rPr>
                <w:rFonts w:hint="default" w:ascii="Times New Roman" w:hAnsi="Times New Roman" w:eastAsia="TimesNewRomanPSMT" w:cs="Times New Roman"/>
                <w:sz w:val="24"/>
                <w:szCs w:val="24"/>
              </w:rPr>
              <w:t>t</w:t>
            </w:r>
            <w:r>
              <w:rPr>
                <w:rFonts w:hint="default" w:ascii="Times New Roman" w:hAnsi="Times New Roman" w:cs="Times New Roman"/>
                <w:sz w:val="24"/>
                <w:szCs w:val="24"/>
              </w:rPr>
              <w:t>；</w:t>
            </w:r>
          </w:p>
          <w:p>
            <w:pPr>
              <w:spacing w:line="360" w:lineRule="auto"/>
              <w:ind w:firstLine="1200" w:firstLineChars="500"/>
              <w:rPr>
                <w:rFonts w:hint="default" w:ascii="Times New Roman" w:hAnsi="Times New Roman" w:cs="Times New Roman"/>
                <w:sz w:val="24"/>
                <w:szCs w:val="24"/>
              </w:rPr>
            </w:pP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1</w:t>
            </w:r>
            <w:r>
              <w:rPr>
                <w:rFonts w:hint="default" w:ascii="Times New Roman" w:hAnsi="Times New Roman" w:cs="Times New Roman"/>
                <w:sz w:val="24"/>
                <w:szCs w:val="24"/>
              </w:rPr>
              <w:t>，</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2</w:t>
            </w:r>
            <w:r>
              <w:rPr>
                <w:rFonts w:hint="default" w:ascii="Times New Roman" w:hAnsi="Times New Roman" w:eastAsia="TimesNewRomanPSMT" w:cs="Times New Roman"/>
                <w:sz w:val="24"/>
                <w:szCs w:val="24"/>
              </w:rPr>
              <w:t>……Q</w:t>
            </w:r>
            <w:r>
              <w:rPr>
                <w:rFonts w:hint="default" w:ascii="Times New Roman" w:hAnsi="Times New Roman" w:eastAsia="TimesNewRomanPSMT" w:cs="Times New Roman"/>
                <w:sz w:val="24"/>
                <w:szCs w:val="24"/>
                <w:vertAlign w:val="subscript"/>
              </w:rPr>
              <w:t>n</w:t>
            </w:r>
            <w:r>
              <w:rPr>
                <w:rFonts w:hint="default" w:ascii="Times New Roman" w:hAnsi="Times New Roman" w:cs="Times New Roman"/>
                <w:sz w:val="24"/>
                <w:szCs w:val="24"/>
              </w:rPr>
              <w:t>——每种危险物质的临界量，</w:t>
            </w:r>
            <w:r>
              <w:rPr>
                <w:rFonts w:hint="default" w:ascii="Times New Roman" w:hAnsi="Times New Roman" w:eastAsia="TimesNewRomanPSMT" w:cs="Times New Roman"/>
                <w:sz w:val="24"/>
                <w:szCs w:val="24"/>
              </w:rPr>
              <w:t>t</w:t>
            </w:r>
            <w:r>
              <w:rPr>
                <w:rFonts w:hint="default" w:ascii="Times New Roman" w:hAnsi="Times New Roman" w:cs="Times New Roman"/>
                <w:sz w:val="24"/>
                <w:szCs w:val="24"/>
              </w:rPr>
              <w:t>。</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当Q＜1时，该项目环境风险潜势为I。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当Q≥1时，将Q值划分为：（1）1≤Q＜10；（2）10≤Q＜100；（3）Q≥100。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根据《建设项目环境风险评价技术导则》（HJ169-2018）中“C.1危险物质及工艺系统危险性P分级”的“C.1.1危险物质数量与临界量比值Q”条可知，本项目Q</w:t>
            </w:r>
            <w:r>
              <w:rPr>
                <w:rFonts w:hint="eastAsia" w:ascii="Times New Roman" w:hAnsi="Times New Roman" w:cs="Times New Roman"/>
                <w:sz w:val="24"/>
                <w:szCs w:val="24"/>
                <w:lang w:val="en-US" w:eastAsia="zh-CN"/>
              </w:rPr>
              <w:t>=0.00</w:t>
            </w:r>
            <w:r>
              <w:rPr>
                <w:rFonts w:hint="eastAsia" w:cs="Times New Roman"/>
                <w:sz w:val="24"/>
                <w:szCs w:val="24"/>
                <w:lang w:val="en-US" w:eastAsia="zh-CN"/>
              </w:rPr>
              <w:t>1</w:t>
            </w:r>
            <w:r>
              <w:rPr>
                <w:rFonts w:hint="default" w:ascii="Times New Roman" w:hAnsi="Times New Roman" w:cs="Times New Roman"/>
                <w:sz w:val="24"/>
                <w:szCs w:val="24"/>
              </w:rPr>
              <w:t>&lt;1，故本项目环境风险潜势为I。</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）风险评价等级判定</w:t>
            </w:r>
          </w:p>
          <w:p>
            <w:pPr>
              <w:spacing w:line="360" w:lineRule="auto"/>
              <w:ind w:firstLine="480" w:firstLineChars="200"/>
              <w:rPr>
                <w:rFonts w:hint="default" w:ascii="Times New Roman" w:hAnsi="Times New Roman" w:cs="Times New Roman"/>
                <w:b/>
                <w:sz w:val="24"/>
                <w:szCs w:val="24"/>
              </w:rPr>
            </w:pPr>
            <w:r>
              <w:rPr>
                <w:rFonts w:hint="default" w:ascii="Times New Roman" w:hAnsi="Times New Roman" w:cs="Times New Roman"/>
                <w:sz w:val="24"/>
                <w:szCs w:val="24"/>
              </w:rPr>
              <w:t>根据《建设项目环境风险评价技术导则》（HJ 169-2018）中评价工作等级划分表，结合本项目实际情况，确定本项目环境风险评价等级。环境风险评价级别见表4-</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szCs w:val="21"/>
              </w:rPr>
            </w:pPr>
            <w:r>
              <w:rPr>
                <w:rFonts w:hint="default" w:ascii="Times New Roman" w:hAnsi="Times New Roman" w:cs="Times New Roman"/>
                <w:b/>
                <w:szCs w:val="21"/>
              </w:rPr>
              <w:t>表4-</w:t>
            </w:r>
            <w:r>
              <w:rPr>
                <w:rFonts w:hint="eastAsia" w:ascii="Times New Roman" w:hAnsi="Times New Roman" w:cs="Times New Roman"/>
                <w:b/>
                <w:szCs w:val="21"/>
                <w:lang w:val="en-US" w:eastAsia="zh-CN"/>
              </w:rPr>
              <w:t>20</w:t>
            </w:r>
            <w:r>
              <w:rPr>
                <w:rFonts w:hint="default" w:ascii="Times New Roman" w:hAnsi="Times New Roman" w:cs="Times New Roman"/>
                <w:b/>
                <w:szCs w:val="21"/>
              </w:rPr>
              <w:t xml:space="preserve">  评价工作等级划分</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660"/>
              <w:gridCol w:w="1660"/>
              <w:gridCol w:w="1662"/>
              <w:gridCol w:w="16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999"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环境风险潜势</w:t>
                  </w:r>
                </w:p>
              </w:tc>
              <w:tc>
                <w:tcPr>
                  <w:tcW w:w="999"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Ⅳ、Ⅵ</w:t>
                  </w:r>
                  <w:r>
                    <w:rPr>
                      <w:rFonts w:hint="default" w:ascii="Times New Roman" w:hAnsi="Times New Roman" w:cs="Times New Roman"/>
                      <w:b/>
                      <w:szCs w:val="21"/>
                      <w:vertAlign w:val="superscript"/>
                    </w:rPr>
                    <w:t>+</w:t>
                  </w:r>
                </w:p>
              </w:tc>
              <w:tc>
                <w:tcPr>
                  <w:tcW w:w="999"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Ⅲ</w:t>
                  </w:r>
                </w:p>
              </w:tc>
              <w:tc>
                <w:tcPr>
                  <w:tcW w:w="1000"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Ⅱ</w:t>
                  </w:r>
                </w:p>
              </w:tc>
              <w:tc>
                <w:tcPr>
                  <w:tcW w:w="1000" w:type="pct"/>
                  <w:tcBorders>
                    <w:bottom w:val="single" w:color="auto" w:sz="12" w:space="0"/>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9"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评价工作等级</w:t>
                  </w:r>
                </w:p>
              </w:tc>
              <w:tc>
                <w:tcPr>
                  <w:tcW w:w="999"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一</w:t>
                  </w:r>
                </w:p>
              </w:tc>
              <w:tc>
                <w:tcPr>
                  <w:tcW w:w="999"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二</w:t>
                  </w:r>
                </w:p>
              </w:tc>
              <w:tc>
                <w:tcPr>
                  <w:tcW w:w="1000"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三</w:t>
                  </w:r>
                </w:p>
              </w:tc>
              <w:tc>
                <w:tcPr>
                  <w:tcW w:w="1000" w:type="pc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简单分析</w:t>
                  </w:r>
                  <w:r>
                    <w:rPr>
                      <w:rFonts w:hint="default" w:ascii="Times New Roman" w:hAnsi="Times New Roman" w:cs="Times New Roman"/>
                      <w:szCs w:val="21"/>
                      <w:vertAlign w:val="superscript"/>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5"/>
                  <w:noWrap w:val="0"/>
                  <w:vAlign w:val="center"/>
                </w:tcPr>
                <w:p>
                  <w:pPr>
                    <w:rPr>
                      <w:rFonts w:hint="default" w:ascii="Times New Roman" w:hAnsi="Times New Roman" w:cs="Times New Roman"/>
                      <w:szCs w:val="21"/>
                    </w:rPr>
                  </w:pPr>
                  <w:r>
                    <w:rPr>
                      <w:rFonts w:hint="default" w:ascii="Times New Roman" w:hAnsi="Times New Roman" w:cs="Times New Roman"/>
                      <w:szCs w:val="21"/>
                    </w:rPr>
                    <w:t>a是相对于详细评价工作内容而言，在描述危险物质、环境影响途径、环境危害后果、风险防范措施等方面给出定性的说明。见附录 A。</w:t>
                  </w:r>
                </w:p>
              </w:tc>
            </w:tr>
          </w:tbl>
          <w:p>
            <w:pPr>
              <w:spacing w:before="120"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建设项目环境风险评价技术导则》（HJ169-2018）中“C.1危险物质及工艺系统危险性P分级”的“C.1.1危险物质数量与临界量比值Q”条可知，本项目不涉及危险数值，Q＜1，该项目环境风险潜势为Ⅰ，对比评价等级判定表可知，本项目环境风险评价工作等级为简单分析。</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color w:val="auto"/>
                <w:sz w:val="24"/>
                <w:szCs w:val="24"/>
              </w:rPr>
            </w:pPr>
            <w:r>
              <w:rPr>
                <w:rFonts w:hint="default" w:ascii="Times New Roman" w:hAnsi="Times New Roman" w:cs="Times New Roman"/>
                <w:b w:val="0"/>
                <w:bCs/>
                <w:snapToGrid/>
                <w:color w:val="auto"/>
                <w:kern w:val="0"/>
                <w:sz w:val="24"/>
                <w:szCs w:val="24"/>
                <w:lang w:eastAsia="zh-CN"/>
              </w:rPr>
              <w:t>（</w:t>
            </w:r>
            <w:r>
              <w:rPr>
                <w:rFonts w:hint="eastAsia" w:cs="Times New Roman"/>
                <w:b w:val="0"/>
                <w:bCs/>
                <w:snapToGrid/>
                <w:color w:val="auto"/>
                <w:kern w:val="0"/>
                <w:sz w:val="24"/>
                <w:szCs w:val="24"/>
                <w:lang w:val="en-US" w:eastAsia="zh-CN"/>
              </w:rPr>
              <w:t>4</w:t>
            </w:r>
            <w:r>
              <w:rPr>
                <w:rFonts w:hint="default" w:ascii="Times New Roman" w:hAnsi="Times New Roman" w:cs="Times New Roman"/>
                <w:b w:val="0"/>
                <w:bCs/>
                <w:snapToGrid/>
                <w:color w:val="auto"/>
                <w:kern w:val="0"/>
                <w:sz w:val="24"/>
                <w:szCs w:val="24"/>
                <w:lang w:val="en-US" w:eastAsia="zh-CN"/>
              </w:rPr>
              <w:t>）</w:t>
            </w:r>
            <w:r>
              <w:rPr>
                <w:rFonts w:hint="default" w:ascii="Times New Roman" w:hAnsi="Times New Roman" w:eastAsia="宋体" w:cs="Times New Roman"/>
                <w:b w:val="0"/>
                <w:bCs/>
                <w:snapToGrid/>
                <w:color w:val="auto"/>
                <w:kern w:val="0"/>
                <w:sz w:val="24"/>
                <w:szCs w:val="24"/>
              </w:rPr>
              <w:t>生产过程潜在危险识别</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val="en-US" w:eastAsia="zh-CN" w:bidi="ar"/>
              </w:rPr>
              <w:t>分析危险物质特性及可能的环境风险类型，识别危险物质影响环境的途径，分析可能影响的环境敏感目标，具体见下表。</w:t>
            </w:r>
          </w:p>
          <w:p>
            <w:pPr>
              <w:pStyle w:val="85"/>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jc w:val="center"/>
              <w:textAlignment w:val="auto"/>
              <w:rPr>
                <w:rFonts w:hint="default" w:ascii="Times New Roman" w:hAnsi="Times New Roman" w:eastAsia="宋体" w:cs="宋体"/>
                <w:b/>
                <w:bCs/>
                <w:color w:val="auto"/>
                <w:sz w:val="21"/>
                <w:szCs w:val="21"/>
                <w:highlight w:val="none"/>
                <w:lang w:val="en-US" w:eastAsia="zh-CN"/>
              </w:rPr>
            </w:pPr>
          </w:p>
          <w:p>
            <w:pPr>
              <w:pStyle w:val="85"/>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jc w:val="center"/>
              <w:textAlignment w:val="auto"/>
              <w:rPr>
                <w:rFonts w:hint="default" w:ascii="Times New Roman" w:hAnsi="Times New Roman" w:eastAsia="宋体" w:cs="宋体"/>
                <w:b/>
                <w:bCs/>
                <w:color w:val="auto"/>
                <w:sz w:val="21"/>
                <w:szCs w:val="21"/>
                <w:highlight w:val="none"/>
                <w:lang w:val="en-US" w:eastAsia="zh-CN"/>
              </w:rPr>
            </w:pPr>
          </w:p>
          <w:p>
            <w:pPr>
              <w:pStyle w:val="85"/>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jc w:val="center"/>
              <w:textAlignment w:val="auto"/>
              <w:rPr>
                <w:rFonts w:hint="default" w:ascii="Times New Roman" w:hAnsi="Times New Roman" w:eastAsia="宋体" w:cs="宋体"/>
                <w:b/>
                <w:bCs/>
                <w:color w:val="auto"/>
                <w:sz w:val="21"/>
                <w:szCs w:val="21"/>
                <w:highlight w:val="none"/>
                <w:lang w:val="en-US" w:eastAsia="zh-CN"/>
              </w:rPr>
            </w:pPr>
            <w:r>
              <w:rPr>
                <w:rFonts w:hint="default" w:ascii="Times New Roman" w:hAnsi="Times New Roman" w:eastAsia="宋体" w:cs="宋体"/>
                <w:b/>
                <w:bCs/>
                <w:color w:val="auto"/>
                <w:sz w:val="21"/>
                <w:szCs w:val="21"/>
                <w:highlight w:val="none"/>
                <w:lang w:val="en-US" w:eastAsia="zh-CN"/>
              </w:rPr>
              <w:t>表4-</w:t>
            </w:r>
            <w:r>
              <w:rPr>
                <w:rFonts w:hint="eastAsia" w:ascii="Times New Roman" w:hAnsi="Times New Roman" w:cs="宋体"/>
                <w:b/>
                <w:bCs/>
                <w:color w:val="auto"/>
                <w:sz w:val="21"/>
                <w:szCs w:val="21"/>
                <w:highlight w:val="none"/>
                <w:lang w:val="en-US" w:eastAsia="zh-CN"/>
              </w:rPr>
              <w:t>21</w:t>
            </w:r>
            <w:r>
              <w:rPr>
                <w:rFonts w:hint="default" w:ascii="Times New Roman" w:hAnsi="Times New Roman" w:eastAsia="宋体" w:cs="宋体"/>
                <w:b/>
                <w:bCs/>
                <w:color w:val="auto"/>
                <w:sz w:val="21"/>
                <w:szCs w:val="21"/>
                <w:highlight w:val="none"/>
                <w:lang w:val="en-US" w:eastAsia="zh-CN"/>
              </w:rPr>
              <w:t xml:space="preserve">  建设项目环境风险识别表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1755"/>
              <w:gridCol w:w="2567"/>
              <w:gridCol w:w="1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风险单元</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风险类型</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事故情景</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危害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危废</w:t>
                  </w:r>
                  <w:r>
                    <w:rPr>
                      <w:rFonts w:hint="default" w:ascii="Times New Roman" w:hAnsi="Times New Roman" w:eastAsia="宋体" w:cs="Times New Roman"/>
                      <w:color w:val="auto"/>
                      <w:szCs w:val="21"/>
                      <w:lang w:val="en-US" w:eastAsia="zh-CN"/>
                    </w:rPr>
                    <w:t>暂存间、</w:t>
                  </w:r>
                  <w:r>
                    <w:rPr>
                      <w:rFonts w:hint="eastAsia" w:ascii="Times New Roman" w:hAnsi="Times New Roman" w:eastAsia="宋体" w:cs="Times New Roman"/>
                      <w:color w:val="auto"/>
                      <w:szCs w:val="21"/>
                      <w:lang w:val="en-US" w:eastAsia="zh-CN"/>
                    </w:rPr>
                    <w:t>原料仓</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危险废物</w:t>
                  </w:r>
                  <w:r>
                    <w:rPr>
                      <w:rFonts w:hint="default"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val="en-US" w:eastAsia="zh-CN"/>
                    </w:rPr>
                    <w:t>原料泄露</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危险废物</w:t>
                  </w:r>
                  <w:r>
                    <w:rPr>
                      <w:rFonts w:hint="eastAsia" w:ascii="Times New Roman" w:hAnsi="Times New Roman" w:cs="Times New Roman"/>
                      <w:color w:val="auto"/>
                      <w:u w:val="none"/>
                      <w:lang w:val="en-US" w:eastAsia="zh-CN"/>
                    </w:rPr>
                    <w:t>、原料仓</w:t>
                  </w:r>
                  <w:r>
                    <w:rPr>
                      <w:rFonts w:hint="default" w:ascii="Times New Roman" w:hAnsi="Times New Roman" w:eastAsia="宋体" w:cs="Times New Roman"/>
                      <w:color w:val="auto"/>
                      <w:szCs w:val="21"/>
                    </w:rPr>
                    <w:t>发生破损，造成泄露</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污染地下水、土壤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废气处理设施</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废气超标排放</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装置故障</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0"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废水处理设施</w:t>
                  </w:r>
                </w:p>
              </w:tc>
              <w:tc>
                <w:tcPr>
                  <w:tcW w:w="1056"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w:t>
                  </w:r>
                  <w:r>
                    <w:rPr>
                      <w:rFonts w:hint="eastAsia" w:ascii="Times New Roman" w:hAnsi="Times New Roman" w:cs="Times New Roman"/>
                      <w:color w:val="auto"/>
                      <w:szCs w:val="21"/>
                      <w:lang w:val="en-US" w:eastAsia="zh-CN"/>
                    </w:rPr>
                    <w:t>水</w:t>
                  </w:r>
                  <w:r>
                    <w:rPr>
                      <w:rFonts w:hint="default" w:ascii="Times New Roman" w:hAnsi="Times New Roman" w:eastAsia="宋体" w:cs="Times New Roman"/>
                      <w:color w:val="auto"/>
                      <w:szCs w:val="21"/>
                    </w:rPr>
                    <w:t>超标排放</w:t>
                  </w:r>
                </w:p>
              </w:tc>
              <w:tc>
                <w:tcPr>
                  <w:tcW w:w="1544"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装置故障</w:t>
                  </w:r>
                </w:p>
              </w:tc>
              <w:tc>
                <w:tcPr>
                  <w:tcW w:w="1098" w:type="pct"/>
                  <w:tcBorders>
                    <w:tl2br w:val="nil"/>
                    <w:tr2bl w:val="nil"/>
                  </w:tcBorders>
                  <w:noWrap w:val="0"/>
                  <w:vAlign w:val="center"/>
                </w:tcPr>
                <w:p>
                  <w:pPr>
                    <w:pStyle w:val="90"/>
                    <w:keepNext w:val="0"/>
                    <w:keepLines w:val="0"/>
                    <w:suppressLineNumbers w:val="0"/>
                    <w:bidi w:val="0"/>
                    <w:spacing w:before="0" w:beforeAutospacing="0" w:after="0" w:afterAutospacing="0" w:line="240" w:lineRule="auto"/>
                    <w:ind w:left="0" w:right="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污染地下水</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bCs/>
                <w:color w:val="auto"/>
                <w:sz w:val="24"/>
                <w:szCs w:val="24"/>
              </w:rPr>
            </w:pPr>
            <w:r>
              <w:rPr>
                <w:rFonts w:hint="default" w:ascii="Times New Roman" w:hAnsi="Times New Roman" w:eastAsia="宋体" w:cs="Times New Roman"/>
                <w:b w:val="0"/>
                <w:bCs w:val="0"/>
                <w:color w:val="auto"/>
                <w:sz w:val="24"/>
                <w:szCs w:val="24"/>
              </w:rPr>
              <w:t>①</w:t>
            </w:r>
            <w:r>
              <w:rPr>
                <w:rFonts w:hint="default" w:ascii="Times New Roman" w:hAnsi="Times New Roman" w:cs="Times New Roman"/>
                <w:b w:val="0"/>
                <w:bCs w:val="0"/>
                <w:color w:val="auto"/>
                <w:sz w:val="24"/>
                <w:szCs w:val="24"/>
              </w:rPr>
              <w:t>主要风险因素识别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本项目的风险来自于原辅料的进出厂运输、装卸、储存以及生产过程使用等引起的火灾、爆炸、环境污染的风险，评估的内容可具体划分为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装卸货物：对储存和运输各环节事故率的比较表明，装卸活动是防止事故的关键环节。且随货物不同形态（气体、液体、固体）、运输方式（散装、包装）、操作方法及运输工具类型的不同危险性程度也不同。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b</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运输：厂区内交通事故，如碰撞（车与车、车与固定物体等）。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c</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生产设备事故：生产过程中使用的设备可能因本身的质量缺陷或者超期使用等，而导致设备疲劳运转，造成易挥发的有毒有害物质等飞溅到空中，如被操作者直接吸入可能造成身体危害。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维修操作：危险化学品暂存间不安全的维修安排，特别是涉及动火、焊接操作。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b w:val="0"/>
                <w:bCs w:val="0"/>
                <w:color w:val="auto"/>
                <w:sz w:val="24"/>
                <w:szCs w:val="24"/>
              </w:rPr>
              <w:t>②</w:t>
            </w:r>
            <w:r>
              <w:rPr>
                <w:rFonts w:hint="default" w:ascii="Times New Roman" w:hAnsi="Times New Roman" w:cs="Times New Roman"/>
                <w:b w:val="0"/>
                <w:bCs w:val="0"/>
                <w:color w:val="auto"/>
                <w:sz w:val="24"/>
                <w:szCs w:val="24"/>
              </w:rPr>
              <w:t>其它风险因素识别</w:t>
            </w:r>
          </w:p>
          <w:p>
            <w:pPr>
              <w:pStyle w:val="91"/>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b w:val="0"/>
                <w:snapToGrid/>
                <w:color w:val="auto"/>
                <w:kern w:val="0"/>
                <w:sz w:val="24"/>
                <w:szCs w:val="24"/>
                <w:lang w:val="en-US" w:eastAsia="zh-CN"/>
              </w:rPr>
              <w:t>a</w:t>
            </w:r>
            <w:r>
              <w:rPr>
                <w:rFonts w:hint="default" w:ascii="Times New Roman" w:hAnsi="Times New Roman" w:eastAsia="宋体" w:cs="Times New Roman"/>
                <w:b w:val="0"/>
                <w:snapToGrid/>
                <w:color w:val="auto"/>
                <w:kern w:val="0"/>
                <w:sz w:val="24"/>
                <w:szCs w:val="24"/>
                <w:lang w:eastAsia="zh-CN"/>
              </w:rPr>
              <w:t>、</w:t>
            </w:r>
            <w:r>
              <w:rPr>
                <w:rFonts w:hint="default" w:ascii="Times New Roman" w:hAnsi="Times New Roman" w:eastAsia="宋体" w:cs="Times New Roman"/>
                <w:b w:val="0"/>
                <w:snapToGrid/>
                <w:color w:val="auto"/>
                <w:kern w:val="0"/>
                <w:sz w:val="24"/>
                <w:szCs w:val="24"/>
              </w:rPr>
              <w:t>停电事故：突然停电，设备中残留的物料若处理不当，也会造成安全事故或者是环境污染事故。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b</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电气事故和火灾：电气危险因素主要有触电、雷电危害、电气火灾和爆炸等。如果防雷装置设计、安装存在缺陷，有雷电危害的危险。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d</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人为因素：如规章制度不严、管理不善、违章作业、工艺设计不尽合理、操作人员技术素质差等，因隐患不能及时排除而引发安全事故，造成环境污染。</w:t>
            </w:r>
          </w:p>
          <w:p>
            <w:pPr>
              <w:pageBreakBefore w:val="0"/>
              <w:kinsoku/>
              <w:wordWrap/>
              <w:overflowPunct/>
              <w:topLinePunct w:val="0"/>
              <w:bidi w:val="0"/>
              <w:adjustRightInd/>
              <w:snapToGrid/>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b w:val="0"/>
                <w:bCs w:val="0"/>
                <w:color w:val="auto"/>
                <w:sz w:val="24"/>
                <w:szCs w:val="24"/>
              </w:rPr>
              <w:t>③</w:t>
            </w:r>
            <w:r>
              <w:rPr>
                <w:rFonts w:hint="default" w:ascii="Times New Roman" w:hAnsi="Times New Roman" w:cs="Times New Roman"/>
                <w:b w:val="0"/>
                <w:bCs w:val="0"/>
                <w:color w:val="auto"/>
                <w:sz w:val="24"/>
                <w:szCs w:val="24"/>
              </w:rPr>
              <w:t>其他因素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可能引发事故风险的还有战争、自然灾害、人为破坏等因素。前两个因素为不可抗拒因素，后一个因素只要加强防范管理还是可以避免的。</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snapToGrid/>
                <w:color w:val="auto"/>
                <w:kern w:val="0"/>
                <w:sz w:val="24"/>
                <w:szCs w:val="24"/>
              </w:rPr>
            </w:pPr>
            <w:r>
              <w:rPr>
                <w:rFonts w:hint="default" w:ascii="Times New Roman" w:hAnsi="Times New Roman" w:cs="Times New Roman"/>
                <w:b w:val="0"/>
                <w:bCs/>
                <w:snapToGrid/>
                <w:color w:val="auto"/>
                <w:kern w:val="0"/>
                <w:sz w:val="24"/>
                <w:szCs w:val="24"/>
                <w:lang w:eastAsia="zh-CN"/>
              </w:rPr>
              <w:t>（</w:t>
            </w:r>
            <w:r>
              <w:rPr>
                <w:rFonts w:hint="eastAsia" w:cs="Times New Roman"/>
                <w:b w:val="0"/>
                <w:bCs/>
                <w:snapToGrid/>
                <w:color w:val="auto"/>
                <w:kern w:val="0"/>
                <w:sz w:val="24"/>
                <w:szCs w:val="24"/>
                <w:lang w:val="en-US" w:eastAsia="zh-CN"/>
              </w:rPr>
              <w:t>5</w:t>
            </w:r>
            <w:r>
              <w:rPr>
                <w:rFonts w:hint="default" w:ascii="Times New Roman" w:hAnsi="Times New Roman" w:cs="Times New Roman"/>
                <w:b w:val="0"/>
                <w:bCs/>
                <w:snapToGrid/>
                <w:color w:val="auto"/>
                <w:kern w:val="0"/>
                <w:sz w:val="24"/>
                <w:szCs w:val="24"/>
                <w:lang w:val="en-US" w:eastAsia="zh-CN"/>
              </w:rPr>
              <w:t>）</w:t>
            </w:r>
            <w:r>
              <w:rPr>
                <w:rFonts w:hint="default" w:ascii="Times New Roman" w:hAnsi="Times New Roman" w:eastAsia="宋体" w:cs="Times New Roman"/>
                <w:b w:val="0"/>
                <w:bCs/>
                <w:snapToGrid/>
                <w:color w:val="auto"/>
                <w:kern w:val="0"/>
                <w:sz w:val="24"/>
                <w:szCs w:val="24"/>
              </w:rPr>
              <w:t>环境风险事故的影响分析</w:t>
            </w:r>
          </w:p>
          <w:p>
            <w:pPr>
              <w:pStyle w:val="92"/>
              <w:pageBreakBefore w:val="0"/>
              <w:kinsoku/>
              <w:wordWrap/>
              <w:overflowPunct/>
              <w:topLinePunct w:val="0"/>
              <w:bidi w:val="0"/>
              <w:adjustRightInd/>
              <w:snapToGrid/>
              <w:spacing w:before="0" w:beforeLines="0" w:after="0" w:afterLines="0" w:line="360" w:lineRule="auto"/>
              <w:ind w:firstLine="480" w:firstLineChars="200"/>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lang w:val="en-US" w:eastAsia="zh-CN"/>
              </w:rPr>
              <w:t>①</w:t>
            </w:r>
            <w:r>
              <w:rPr>
                <w:rFonts w:hint="default" w:ascii="Times New Roman" w:hAnsi="Times New Roman" w:eastAsia="宋体" w:cs="Times New Roman"/>
                <w:b w:val="0"/>
                <w:bCs w:val="0"/>
                <w:color w:val="auto"/>
                <w:kern w:val="0"/>
                <w:sz w:val="24"/>
                <w:szCs w:val="24"/>
              </w:rPr>
              <w:t>事故发生对大气环境的影响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化学品一旦发生风险事故，其中的挥发性有毒有害气体在不利风向时，周围敏感点及公司员工等均会受到不同程度的影响。发生泄漏、火灾等事故后产生的大气污染物主要是</w:t>
            </w:r>
            <w:r>
              <w:rPr>
                <w:rFonts w:hint="eastAsia" w:ascii="Times New Roman" w:hAnsi="Times New Roman" w:cs="Times New Roman"/>
                <w:color w:val="auto"/>
                <w:sz w:val="24"/>
                <w:szCs w:val="24"/>
                <w:lang w:val="en-US" w:eastAsia="zh-CN"/>
              </w:rPr>
              <w:t>项目原料燃烧产生的一氧化碳</w:t>
            </w:r>
            <w:r>
              <w:rPr>
                <w:rFonts w:hint="default" w:ascii="Times New Roman" w:hAnsi="Times New Roman" w:cs="Times New Roman"/>
                <w:color w:val="auto"/>
                <w:sz w:val="24"/>
                <w:szCs w:val="24"/>
              </w:rPr>
              <w:t>。根据暂存的危险化学品的理化性质以及存储量，本项目产生危害最大的大气污染物为</w:t>
            </w:r>
            <w:r>
              <w:rPr>
                <w:rFonts w:hint="eastAsia" w:ascii="Times New Roman" w:hAnsi="Times New Roman" w:cs="Times New Roman"/>
                <w:color w:val="auto"/>
                <w:sz w:val="24"/>
                <w:szCs w:val="24"/>
                <w:lang w:val="en-US" w:eastAsia="zh-CN"/>
              </w:rPr>
              <w:t>一氧化碳</w:t>
            </w:r>
            <w:r>
              <w:rPr>
                <w:rFonts w:hint="default" w:ascii="Times New Roman" w:hAnsi="Times New Roman" w:cs="Times New Roman"/>
                <w:color w:val="auto"/>
                <w:sz w:val="24"/>
                <w:szCs w:val="24"/>
              </w:rPr>
              <w:t>。</w:t>
            </w:r>
          </w:p>
          <w:p>
            <w:pPr>
              <w:pStyle w:val="92"/>
              <w:pageBreakBefore w:val="0"/>
              <w:kinsoku/>
              <w:wordWrap/>
              <w:overflowPunct/>
              <w:topLinePunct w:val="0"/>
              <w:bidi w:val="0"/>
              <w:adjustRightInd/>
              <w:snapToGrid/>
              <w:spacing w:before="0" w:beforeLines="0" w:after="0" w:afterLines="0" w:line="360" w:lineRule="auto"/>
              <w:ind w:firstLine="480" w:firstLineChars="200"/>
              <w:outlineLvl w:val="9"/>
              <w:rPr>
                <w:rFonts w:hint="default" w:ascii="Times New Roman" w:hAnsi="Times New Roman" w:eastAsia="宋体" w:cs="Times New Roman"/>
                <w:color w:val="auto"/>
                <w:kern w:val="0"/>
                <w:sz w:val="24"/>
                <w:szCs w:val="24"/>
              </w:rPr>
            </w:pPr>
            <w:r>
              <w:rPr>
                <w:rFonts w:hint="default" w:ascii="Times New Roman" w:hAnsi="Times New Roman" w:eastAsia="Times New Roman"/>
                <w:b w:val="0"/>
                <w:bCs w:val="0"/>
                <w:color w:val="auto"/>
                <w:sz w:val="24"/>
                <w:szCs w:val="24"/>
                <w:lang w:val="zh-CN"/>
              </w:rPr>
              <w:t>在短时间内吸入过量的高浓度一氧化碳会造成急性一氧化碳中毒，使人出现中毒症状，引起脑、心、肝、肾、肺及其他组织的继发性营养不良性损伤。 中毒者常很快进入昏迷，呼吸困难和呼吸肌麻痹而迅速死亡，甚至电击样死亡。</w:t>
            </w:r>
            <w:r>
              <w:rPr>
                <w:rFonts w:hint="default" w:ascii="Times New Roman" w:hAnsi="Times New Roman" w:eastAsia="宋体" w:cs="Times New Roman"/>
                <w:b w:val="0"/>
                <w:bCs w:val="0"/>
                <w:color w:val="auto"/>
                <w:kern w:val="0"/>
                <w:sz w:val="24"/>
                <w:szCs w:val="24"/>
              </w:rPr>
              <w:t>本项目</w:t>
            </w:r>
            <w:r>
              <w:rPr>
                <w:rFonts w:hint="eastAsia" w:ascii="Times New Roman" w:hAnsi="Times New Roman" w:eastAsia="宋体" w:cs="Times New Roman"/>
                <w:b w:val="0"/>
                <w:bCs w:val="0"/>
                <w:color w:val="auto"/>
                <w:kern w:val="0"/>
                <w:sz w:val="24"/>
                <w:szCs w:val="24"/>
                <w:lang w:val="en-US" w:eastAsia="zh-CN"/>
              </w:rPr>
              <w:t>在火灾发生时</w:t>
            </w:r>
            <w:r>
              <w:rPr>
                <w:rFonts w:hint="default" w:ascii="Times New Roman" w:hAnsi="Times New Roman" w:eastAsia="宋体" w:cs="Times New Roman"/>
                <w:b w:val="0"/>
                <w:bCs w:val="0"/>
                <w:color w:val="auto"/>
                <w:kern w:val="0"/>
                <w:sz w:val="24"/>
                <w:szCs w:val="24"/>
              </w:rPr>
              <w:t>，及时采取风险防范措施，散发到空气中的</w:t>
            </w:r>
            <w:r>
              <w:rPr>
                <w:rFonts w:hint="eastAsia" w:ascii="Times New Roman" w:hAnsi="Times New Roman" w:eastAsia="宋体" w:cs="Times New Roman"/>
                <w:b w:val="0"/>
                <w:bCs w:val="0"/>
                <w:color w:val="auto"/>
                <w:kern w:val="0"/>
                <w:sz w:val="24"/>
                <w:szCs w:val="24"/>
                <w:lang w:val="en-US" w:eastAsia="zh-CN"/>
              </w:rPr>
              <w:t>一氧化碳</w:t>
            </w:r>
            <w:r>
              <w:rPr>
                <w:rFonts w:hint="default" w:ascii="Times New Roman" w:hAnsi="Times New Roman" w:eastAsia="宋体" w:cs="Times New Roman"/>
                <w:b w:val="0"/>
                <w:bCs w:val="0"/>
                <w:color w:val="auto"/>
                <w:kern w:val="0"/>
                <w:sz w:val="24"/>
                <w:szCs w:val="24"/>
              </w:rPr>
              <w:t>较少，对周边敏感点及员工的接触时间短，且浓度达不到爆炸阈值，其环境风险在可接受的范围内。</w:t>
            </w:r>
          </w:p>
          <w:p>
            <w:pPr>
              <w:pStyle w:val="92"/>
              <w:pageBreakBefore w:val="0"/>
              <w:kinsoku/>
              <w:wordWrap/>
              <w:overflowPunct/>
              <w:topLinePunct w:val="0"/>
              <w:bidi w:val="0"/>
              <w:adjustRightInd/>
              <w:snapToGrid/>
              <w:spacing w:before="0" w:beforeLines="0" w:after="0" w:afterLines="0" w:line="360" w:lineRule="auto"/>
              <w:ind w:firstLine="480" w:firstLineChars="200"/>
              <w:outlineLvl w:val="9"/>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lang w:val="en-US" w:eastAsia="zh-CN"/>
              </w:rPr>
              <w:t>②</w:t>
            </w:r>
            <w:r>
              <w:rPr>
                <w:rFonts w:hint="default" w:ascii="Times New Roman" w:hAnsi="Times New Roman" w:eastAsia="宋体" w:cs="Times New Roman"/>
                <w:b w:val="0"/>
                <w:bCs w:val="0"/>
                <w:color w:val="auto"/>
                <w:kern w:val="0"/>
                <w:sz w:val="24"/>
                <w:szCs w:val="24"/>
              </w:rPr>
              <w:t>事故发生对地表水环境的影响</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为避免污水处理设备出现事故，厂区加强设备检修，跟日常巡检，降低设备故障几率。因此，废水处理设施发生故障后，短期内不会造成废水事故排放，但应立即组织相关人员对故障进行处理，及时恢复废水处理设施的正常运行。</w:t>
            </w:r>
          </w:p>
          <w:p>
            <w:pPr>
              <w:pStyle w:val="87"/>
              <w:pageBreakBefore w:val="0"/>
              <w:kinsoku/>
              <w:wordWrap/>
              <w:overflowPunct/>
              <w:topLinePunct w:val="0"/>
              <w:bidi w:val="0"/>
              <w:adjustRightInd/>
              <w:snapToGrid/>
              <w:spacing w:before="0" w:beforeLines="0" w:after="0" w:afterLines="0" w:line="360" w:lineRule="auto"/>
              <w:ind w:firstLine="480" w:firstLineChars="200"/>
              <w:rPr>
                <w:rFonts w:hint="default" w:ascii="Times New Roman" w:hAnsi="Times New Roman" w:eastAsia="宋体" w:cs="Times New Roman"/>
                <w:b w:val="0"/>
                <w:bCs/>
                <w:snapToGrid/>
                <w:color w:val="auto"/>
                <w:kern w:val="0"/>
                <w:sz w:val="24"/>
                <w:szCs w:val="24"/>
                <w:lang w:eastAsia="zh-CN"/>
              </w:rPr>
            </w:pPr>
            <w:r>
              <w:rPr>
                <w:rFonts w:hint="default" w:ascii="Times New Roman" w:hAnsi="Times New Roman" w:eastAsia="宋体" w:cs="Times New Roman"/>
                <w:b w:val="0"/>
                <w:bCs/>
                <w:snapToGrid/>
                <w:color w:val="auto"/>
                <w:kern w:val="0"/>
                <w:sz w:val="24"/>
                <w:szCs w:val="24"/>
                <w:lang w:eastAsia="zh-CN"/>
              </w:rPr>
              <w:t>（</w:t>
            </w:r>
            <w:r>
              <w:rPr>
                <w:rFonts w:hint="default" w:ascii="Times New Roman" w:hAnsi="Times New Roman" w:eastAsia="宋体" w:cs="Times New Roman"/>
                <w:b w:val="0"/>
                <w:bCs/>
                <w:snapToGrid/>
                <w:color w:val="auto"/>
                <w:kern w:val="0"/>
                <w:sz w:val="24"/>
                <w:szCs w:val="24"/>
                <w:lang w:val="en-US" w:eastAsia="zh-CN"/>
              </w:rPr>
              <w:t>6）</w:t>
            </w:r>
            <w:r>
              <w:rPr>
                <w:rFonts w:hint="default" w:ascii="Times New Roman" w:hAnsi="Times New Roman" w:eastAsia="宋体" w:cs="Times New Roman"/>
                <w:b w:val="0"/>
                <w:bCs/>
                <w:snapToGrid/>
                <w:color w:val="auto"/>
                <w:kern w:val="0"/>
                <w:sz w:val="24"/>
                <w:szCs w:val="24"/>
                <w:lang w:eastAsia="zh-CN"/>
              </w:rPr>
              <w:t>风险事故防范措施</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A.</w:t>
            </w:r>
            <w:r>
              <w:rPr>
                <w:rFonts w:hint="default" w:ascii="Times New Roman" w:hAnsi="Times New Roman" w:eastAsia="宋体" w:cs="宋体"/>
                <w:color w:val="auto"/>
                <w:sz w:val="24"/>
                <w:szCs w:val="24"/>
                <w:highlight w:val="none"/>
                <w:lang w:val="en-US" w:eastAsia="zh-CN"/>
              </w:rPr>
              <w:t>挥发性物质储存、使用管控要求</w:t>
            </w:r>
          </w:p>
          <w:p>
            <w:pPr>
              <w:pStyle w:val="94"/>
              <w:pageBreakBefore w:val="0"/>
              <w:kinsoku/>
              <w:wordWrap/>
              <w:overflowPunct/>
              <w:topLinePunct w:val="0"/>
              <w:bidi w:val="0"/>
              <w:adjustRightInd/>
              <w:snapToGrid/>
              <w:spacing w:line="360" w:lineRule="auto"/>
              <w:ind w:firstLine="480" w:firstLineChars="200"/>
              <w:rPr>
                <w:rFonts w:hint="eastAsia" w:ascii="Times New Roman"/>
                <w:color w:val="auto"/>
                <w:sz w:val="24"/>
                <w:szCs w:val="24"/>
                <w:highlight w:val="none"/>
              </w:rPr>
            </w:pPr>
            <w:r>
              <w:rPr>
                <w:rFonts w:hint="eastAsia" w:ascii="Times New Roman"/>
                <w:color w:val="auto"/>
                <w:sz w:val="24"/>
                <w:szCs w:val="24"/>
                <w:highlight w:val="none"/>
                <w:lang w:eastAsia="zh-CN"/>
              </w:rPr>
              <w:t>①</w:t>
            </w:r>
            <w:r>
              <w:rPr>
                <w:rFonts w:hint="eastAsia" w:ascii="Times New Roman"/>
                <w:color w:val="auto"/>
                <w:sz w:val="24"/>
                <w:szCs w:val="24"/>
                <w:highlight w:val="none"/>
              </w:rPr>
              <w:t>鼓励使用通过环境标志产品认证的环保型</w:t>
            </w:r>
            <w:r>
              <w:rPr>
                <w:rFonts w:hint="eastAsia" w:ascii="Times New Roman"/>
                <w:color w:val="auto"/>
                <w:sz w:val="24"/>
                <w:szCs w:val="24"/>
                <w:highlight w:val="none"/>
                <w:lang w:val="en-US" w:eastAsia="zh-CN"/>
              </w:rPr>
              <w:t>胶黏剂</w:t>
            </w:r>
            <w:r>
              <w:rPr>
                <w:rFonts w:hint="eastAsia" w:ascii="Times New Roman"/>
                <w:color w:val="auto"/>
                <w:sz w:val="24"/>
                <w:szCs w:val="24"/>
                <w:highlight w:val="none"/>
                <w:lang w:eastAsia="zh-CN"/>
              </w:rPr>
              <w:t>等；</w:t>
            </w:r>
          </w:p>
          <w:p>
            <w:pPr>
              <w:pStyle w:val="94"/>
              <w:pageBreakBefore w:val="0"/>
              <w:kinsoku/>
              <w:wordWrap/>
              <w:overflowPunct/>
              <w:topLinePunct w:val="0"/>
              <w:bidi w:val="0"/>
              <w:adjustRightInd/>
              <w:snapToGrid/>
              <w:spacing w:line="360" w:lineRule="auto"/>
              <w:ind w:firstLine="480" w:firstLineChars="200"/>
              <w:rPr>
                <w:rFonts w:hint="eastAsia" w:ascii="Times New Roman"/>
                <w:color w:val="auto"/>
                <w:sz w:val="24"/>
                <w:szCs w:val="24"/>
                <w:highlight w:val="none"/>
              </w:rPr>
            </w:pPr>
            <w:r>
              <w:rPr>
                <w:rFonts w:hint="eastAsia" w:ascii="Times New Roman"/>
                <w:color w:val="auto"/>
                <w:sz w:val="24"/>
                <w:szCs w:val="24"/>
                <w:highlight w:val="none"/>
                <w:lang w:eastAsia="zh-CN"/>
              </w:rPr>
              <w:t>②</w:t>
            </w:r>
            <w:r>
              <w:rPr>
                <w:rFonts w:hint="eastAsia" w:ascii="Times New Roman"/>
                <w:color w:val="auto"/>
                <w:sz w:val="24"/>
                <w:szCs w:val="24"/>
                <w:highlight w:val="none"/>
              </w:rPr>
              <w:t>应尽量避免无VOCs净化、回收措施的露天喷涂作业；</w:t>
            </w:r>
          </w:p>
          <w:p>
            <w:pPr>
              <w:pStyle w:val="94"/>
              <w:pageBreakBefore w:val="0"/>
              <w:kinsoku/>
              <w:wordWrap/>
              <w:overflowPunct/>
              <w:topLinePunct w:val="0"/>
              <w:bidi w:val="0"/>
              <w:adjustRightInd/>
              <w:snapToGrid/>
              <w:spacing w:line="360" w:lineRule="auto"/>
              <w:ind w:firstLine="480" w:firstLineChars="200"/>
              <w:rPr>
                <w:rFonts w:hint="eastAsia" w:ascii="Times New Roman" w:eastAsia="宋体"/>
                <w:color w:val="auto"/>
                <w:sz w:val="24"/>
                <w:szCs w:val="24"/>
                <w:lang w:eastAsia="zh-CN"/>
              </w:rPr>
            </w:pPr>
            <w:r>
              <w:rPr>
                <w:rFonts w:hint="eastAsia" w:ascii="Times New Roman"/>
                <w:color w:val="auto"/>
                <w:sz w:val="24"/>
                <w:szCs w:val="24"/>
                <w:highlight w:val="none"/>
                <w:lang w:eastAsia="zh-CN"/>
              </w:rPr>
              <w:t>③</w:t>
            </w:r>
            <w:r>
              <w:rPr>
                <w:rFonts w:hint="eastAsia" w:ascii="Times New Roman"/>
                <w:color w:val="auto"/>
                <w:sz w:val="24"/>
                <w:szCs w:val="24"/>
              </w:rPr>
              <w:t>鼓励企业自行开展</w:t>
            </w:r>
            <w:r>
              <w:rPr>
                <w:rFonts w:hint="eastAsia" w:ascii="Times New Roman"/>
                <w:color w:val="auto"/>
                <w:sz w:val="24"/>
                <w:szCs w:val="24"/>
                <w:highlight w:val="none"/>
              </w:rPr>
              <w:t>VOCs</w:t>
            </w:r>
            <w:r>
              <w:rPr>
                <w:rFonts w:hint="eastAsia" w:ascii="Times New Roman"/>
                <w:color w:val="auto"/>
                <w:sz w:val="24"/>
                <w:szCs w:val="24"/>
              </w:rPr>
              <w:t>监测，并及时主动向当地环保行政主管部门报送监测结果</w:t>
            </w:r>
            <w:r>
              <w:rPr>
                <w:rFonts w:hint="eastAsia" w:ascii="Times New Roman"/>
                <w:color w:val="auto"/>
                <w:sz w:val="24"/>
                <w:szCs w:val="24"/>
                <w:lang w:eastAsia="zh-CN"/>
              </w:rPr>
              <w:t>；</w:t>
            </w:r>
          </w:p>
          <w:p>
            <w:pPr>
              <w:pStyle w:val="94"/>
              <w:pageBreakBefore w:val="0"/>
              <w:kinsoku/>
              <w:wordWrap/>
              <w:overflowPunct/>
              <w:topLinePunct w:val="0"/>
              <w:bidi w:val="0"/>
              <w:adjustRightInd/>
              <w:snapToGrid/>
              <w:spacing w:line="360" w:lineRule="auto"/>
              <w:ind w:firstLine="480" w:firstLineChars="200"/>
              <w:rPr>
                <w:rFonts w:hint="eastAsia" w:ascii="Times New Roman"/>
                <w:color w:val="auto"/>
                <w:sz w:val="24"/>
                <w:szCs w:val="24"/>
              </w:rPr>
            </w:pPr>
            <w:r>
              <w:rPr>
                <w:rFonts w:hint="eastAsia" w:ascii="Times New Roman"/>
                <w:color w:val="auto"/>
                <w:sz w:val="24"/>
                <w:szCs w:val="24"/>
                <w:lang w:eastAsia="zh-CN"/>
              </w:rPr>
              <w:t>④</w:t>
            </w:r>
            <w:r>
              <w:rPr>
                <w:rFonts w:hint="eastAsia" w:ascii="Times New Roman"/>
                <w:color w:val="auto"/>
                <w:sz w:val="24"/>
                <w:szCs w:val="24"/>
              </w:rPr>
              <w:t>企业应建立健全</w:t>
            </w:r>
            <w:r>
              <w:rPr>
                <w:rFonts w:hint="eastAsia" w:ascii="Times New Roman"/>
                <w:color w:val="auto"/>
                <w:sz w:val="24"/>
                <w:szCs w:val="24"/>
                <w:highlight w:val="none"/>
              </w:rPr>
              <w:t>VOCs</w:t>
            </w:r>
            <w:r>
              <w:rPr>
                <w:rFonts w:hint="eastAsia" w:ascii="Times New Roman"/>
                <w:color w:val="auto"/>
                <w:sz w:val="24"/>
                <w:szCs w:val="24"/>
              </w:rPr>
              <w:t>治理设施的运行维护规程和台帐等日常管理制度，并根据工艺要求定期对各类设备进行检修维护，确保设施的稳定运行。</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B.</w:t>
            </w:r>
            <w:r>
              <w:rPr>
                <w:rFonts w:hint="default" w:ascii="Times New Roman" w:hAnsi="Times New Roman" w:eastAsia="宋体" w:cs="宋体"/>
                <w:color w:val="auto"/>
                <w:sz w:val="24"/>
                <w:szCs w:val="24"/>
                <w:lang w:val="en-US" w:eastAsia="zh-CN"/>
              </w:rPr>
              <w:t>风险物质泄漏风险防范措施：</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①建议操作人员应经过专门培训，严格遵守操作规程；</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②配备相应品种和数量的消防器材及泄漏应急处理设备。建立环境风险管理体系，制定操作规程、安全规章、职工培训、应急计划等。</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③原料仓库中存放</w:t>
            </w:r>
            <w:r>
              <w:rPr>
                <w:rFonts w:hint="eastAsia" w:ascii="Times New Roman" w:hAnsi="Times New Roman" w:cs="宋体"/>
                <w:color w:val="auto"/>
                <w:sz w:val="24"/>
                <w:szCs w:val="24"/>
                <w:lang w:val="en-US" w:eastAsia="zh-CN"/>
              </w:rPr>
              <w:t>胶水、酒精</w:t>
            </w:r>
            <w:r>
              <w:rPr>
                <w:rFonts w:hint="default" w:ascii="Times New Roman" w:hAnsi="Times New Roman" w:eastAsia="宋体" w:cs="宋体"/>
                <w:color w:val="auto"/>
                <w:sz w:val="24"/>
                <w:szCs w:val="24"/>
                <w:lang w:val="en-US" w:eastAsia="zh-CN"/>
              </w:rPr>
              <w:t>区域进行防渗处理并设置围堰。加强管理，防止</w:t>
            </w:r>
            <w:r>
              <w:rPr>
                <w:rFonts w:hint="eastAsia" w:ascii="Times New Roman" w:hAnsi="Times New Roman" w:cs="宋体"/>
                <w:color w:val="auto"/>
                <w:sz w:val="24"/>
                <w:szCs w:val="24"/>
                <w:lang w:val="en-US" w:eastAsia="zh-CN"/>
              </w:rPr>
              <w:t>胶水、酒精</w:t>
            </w:r>
            <w:r>
              <w:rPr>
                <w:rFonts w:hint="default" w:ascii="Times New Roman" w:hAnsi="Times New Roman" w:eastAsia="宋体" w:cs="宋体"/>
                <w:color w:val="auto"/>
                <w:sz w:val="24"/>
                <w:szCs w:val="24"/>
                <w:lang w:val="en-US" w:eastAsia="zh-CN"/>
              </w:rPr>
              <w:t>在使用过程中跑冒滴漏。</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④委托专业单位进行废气、废水治理工程的设计、施工，确保环保治理设施符合相关规范要求。同时派专业人员负责环保设施的运行、管理、维护</w:t>
            </w:r>
            <w:r>
              <w:rPr>
                <w:rFonts w:hint="eastAsia" w:ascii="Times New Roman" w:hAnsi="Times New Roman" w:cs="宋体"/>
                <w:color w:val="auto"/>
                <w:sz w:val="24"/>
                <w:szCs w:val="24"/>
                <w:lang w:val="en-US" w:eastAsia="zh-CN"/>
              </w:rPr>
              <w:t>，危废暂存间的危险废物需定期交由资质单位处置，减少危险废物存放风险</w:t>
            </w:r>
            <w:r>
              <w:rPr>
                <w:rFonts w:hint="default" w:ascii="Times New Roman" w:hAnsi="Times New Roman" w:eastAsia="宋体" w:cs="宋体"/>
                <w:color w:val="auto"/>
                <w:sz w:val="24"/>
                <w:szCs w:val="24"/>
                <w:lang w:val="en-US" w:eastAsia="zh-CN"/>
              </w:rPr>
              <w:t>。</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⑤原辅料仓库一旦发生泄漏事故时，应立即切断一切火源，对原料间喷施泡沫覆盖泄漏物，降低蒸汽危害，并尽快封堵泄漏源。原辅料仓库存放处应贴有禁火标志，定期检查存放情况。</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C.</w:t>
            </w:r>
            <w:r>
              <w:rPr>
                <w:rFonts w:hint="default" w:ascii="Times New Roman" w:hAnsi="Times New Roman" w:eastAsia="宋体" w:cs="宋体"/>
                <w:color w:val="auto"/>
                <w:sz w:val="24"/>
                <w:szCs w:val="24"/>
                <w:lang w:val="en-US" w:eastAsia="zh-CN"/>
              </w:rPr>
              <w:t>火灾及爆炸环境风险防范措施：</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①建立环境风险管理体系，制定操作规程、安全规章、职工培训、应急计划等；</w:t>
            </w:r>
          </w:p>
          <w:p>
            <w:pPr>
              <w:pStyle w:val="8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宋体"/>
                <w:color w:val="auto"/>
                <w:sz w:val="24"/>
                <w:szCs w:val="24"/>
                <w:lang w:val="en-US" w:eastAsia="zh-CN"/>
              </w:rPr>
            </w:pPr>
            <w:r>
              <w:rPr>
                <w:rFonts w:hint="default" w:ascii="Times New Roman" w:hAnsi="Times New Roman" w:eastAsia="宋体" w:cs="宋体"/>
                <w:color w:val="auto"/>
                <w:sz w:val="24"/>
                <w:szCs w:val="24"/>
                <w:lang w:val="en-US" w:eastAsia="zh-CN"/>
              </w:rPr>
              <w:t>②禁止员工在车间、仓库吸烟点火，提高员工安全意识，加强消防培训，生产车间、仓库及办公生活区内应配备泡沫灭火器等消防应急设备，并定期检查设备有效性；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rPr>
            </w:pPr>
            <w:r>
              <w:rPr>
                <w:rFonts w:hint="default" w:ascii="Times New Roman" w:hAnsi="Times New Roman" w:eastAsia="宋体" w:cs="宋体"/>
                <w:color w:val="auto"/>
                <w:sz w:val="24"/>
                <w:szCs w:val="24"/>
                <w:lang w:val="en-US" w:eastAsia="zh-CN"/>
              </w:rPr>
              <w:t>③发生火情，应立即采取灭火器材等进行灭火并切断电源，高声呼喊，使附近人员能够听到或协助补救，同时，通知相关人员负责拨打火警电话“119”，组织现场人员进行安全疏散。</w:t>
            </w:r>
          </w:p>
          <w:p>
            <w:pPr>
              <w:pageBreakBefore w:val="0"/>
              <w:kinsoku/>
              <w:wordWrap/>
              <w:overflowPunct/>
              <w:topLinePunct w:val="0"/>
              <w:bidi w:val="0"/>
              <w:adjustRightInd/>
              <w:snapToGrid/>
              <w:spacing w:line="360" w:lineRule="auto"/>
              <w:ind w:firstLine="480" w:firstLineChars="200"/>
              <w:rPr>
                <w:rFonts w:hint="default" w:ascii="Times New Roman" w:hAnsi="Times New Roman" w:eastAsia="宋体" w:cs="Times New Roman"/>
                <w:b w:val="0"/>
                <w:bCs w:val="0"/>
                <w:color w:val="auto"/>
                <w:sz w:val="24"/>
                <w:szCs w:val="24"/>
                <w:highlight w:val="none"/>
                <w:lang w:bidi="ar"/>
              </w:rPr>
            </w:pPr>
            <w:r>
              <w:rPr>
                <w:rFonts w:hint="default" w:ascii="Times New Roman" w:hAnsi="Times New Roman" w:eastAsia="宋体" w:cs="Times New Roman"/>
                <w:b w:val="0"/>
                <w:bCs w:val="0"/>
                <w:color w:val="auto"/>
                <w:sz w:val="24"/>
                <w:szCs w:val="24"/>
                <w:highlight w:val="none"/>
                <w:lang w:eastAsia="zh-CN" w:bidi="ar"/>
              </w:rPr>
              <w:t>（</w:t>
            </w:r>
            <w:r>
              <w:rPr>
                <w:rFonts w:hint="eastAsia" w:ascii="Times New Roman" w:hAnsi="Times New Roman" w:eastAsia="宋体" w:cs="Times New Roman"/>
                <w:b w:val="0"/>
                <w:bCs w:val="0"/>
                <w:color w:val="auto"/>
                <w:sz w:val="24"/>
                <w:szCs w:val="24"/>
                <w:highlight w:val="none"/>
                <w:lang w:val="en-US" w:eastAsia="zh-CN" w:bidi="ar"/>
              </w:rPr>
              <w:t>7</w:t>
            </w:r>
            <w:r>
              <w:rPr>
                <w:rFonts w:hint="default" w:ascii="Times New Roman" w:hAnsi="Times New Roman" w:eastAsia="宋体" w:cs="Times New Roman"/>
                <w:b w:val="0"/>
                <w:bCs w:val="0"/>
                <w:color w:val="auto"/>
                <w:sz w:val="24"/>
                <w:szCs w:val="24"/>
                <w:highlight w:val="none"/>
                <w:lang w:val="en-US" w:eastAsia="zh-CN" w:bidi="ar"/>
              </w:rPr>
              <w:t>）</w:t>
            </w:r>
            <w:r>
              <w:rPr>
                <w:rFonts w:hint="default" w:ascii="Times New Roman" w:hAnsi="Times New Roman" w:eastAsia="宋体" w:cs="Times New Roman"/>
                <w:b w:val="0"/>
                <w:bCs w:val="0"/>
                <w:color w:val="auto"/>
                <w:kern w:val="2"/>
                <w:sz w:val="24"/>
                <w:szCs w:val="24"/>
                <w:lang w:val="en-US" w:eastAsia="zh-CN" w:bidi="ar-SA"/>
              </w:rPr>
              <w:t>应急要求</w:t>
            </w:r>
          </w:p>
          <w:p>
            <w:pPr>
              <w:pStyle w:val="5"/>
              <w:pageBreakBefore w:val="0"/>
              <w:kinsoku/>
              <w:wordWrap/>
              <w:overflowPunct/>
              <w:topLinePunct w:val="0"/>
              <w:bidi w:val="0"/>
              <w:adjustRightInd/>
              <w:snapToGrid/>
              <w:spacing w:before="0" w:after="0" w:line="360" w:lineRule="auto"/>
              <w:ind w:firstLine="480" w:firstLineChars="200"/>
              <w:rPr>
                <w:rFonts w:hint="default"/>
                <w:sz w:val="24"/>
                <w:szCs w:val="24"/>
              </w:rPr>
            </w:pPr>
            <w:r>
              <w:rPr>
                <w:rFonts w:hint="default" w:ascii="Times New Roman" w:hAnsi="Times New Roman" w:eastAsia="宋体" w:cs="Times New Roman"/>
                <w:b w:val="0"/>
                <w:bCs w:val="0"/>
                <w:color w:val="auto"/>
                <w:sz w:val="24"/>
                <w:szCs w:val="24"/>
                <w:highlight w:val="none"/>
                <w:lang w:bidi="ar"/>
              </w:rPr>
              <w:t>为有效预防、控制、消除突发事件对环境和健康的破坏性影响，保障厂区职工及广大群众的生命安全、财产安全、环境安全。待本项目建设完成，在开动运行时，厂内的环境管理机构（安全环保科）应该结合实际情况，在此基础上重新制定更具针对性的、科学有效的应急预案，并报本辖区</w:t>
            </w:r>
            <w:r>
              <w:rPr>
                <w:rFonts w:hint="eastAsia" w:ascii="Times New Roman" w:hAnsi="Times New Roman" w:cs="Times New Roman"/>
                <w:b w:val="0"/>
                <w:bCs w:val="0"/>
                <w:color w:val="auto"/>
                <w:sz w:val="24"/>
                <w:szCs w:val="24"/>
                <w:highlight w:val="none"/>
                <w:lang w:val="en-US" w:eastAsia="zh-CN" w:bidi="ar"/>
              </w:rPr>
              <w:t>生态环境</w:t>
            </w:r>
            <w:r>
              <w:rPr>
                <w:rFonts w:hint="default" w:ascii="Times New Roman" w:hAnsi="Times New Roman" w:eastAsia="宋体" w:cs="Times New Roman"/>
                <w:b w:val="0"/>
                <w:bCs w:val="0"/>
                <w:color w:val="auto"/>
                <w:sz w:val="24"/>
                <w:szCs w:val="24"/>
                <w:highlight w:val="none"/>
                <w:lang w:bidi="ar"/>
              </w:rPr>
              <w:t>主管部门备案。</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）环境风险评价内容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Cs w:val="21"/>
              </w:rPr>
            </w:pPr>
            <w:r>
              <w:rPr>
                <w:rFonts w:hint="default" w:ascii="Times New Roman" w:hAnsi="Times New Roman" w:cs="Times New Roman"/>
                <w:sz w:val="24"/>
                <w:szCs w:val="24"/>
              </w:rPr>
              <w:t>本项目风险评价等级为简单分析内容见表4-</w:t>
            </w:r>
            <w:r>
              <w:rPr>
                <w:rFonts w:hint="eastAsia" w:ascii="Times New Roman" w:hAnsi="Times New Roman" w:cs="Times New Roman"/>
                <w:sz w:val="24"/>
                <w:szCs w:val="24"/>
                <w:lang w:val="en-US" w:eastAsia="zh-CN"/>
              </w:rPr>
              <w:t>22</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
                <w:bCs/>
                <w:szCs w:val="21"/>
              </w:rPr>
            </w:pPr>
            <w:r>
              <w:rPr>
                <w:rFonts w:hint="default" w:ascii="Times New Roman" w:hAnsi="Times New Roman" w:cs="Times New Roman"/>
                <w:b/>
                <w:bCs/>
                <w:szCs w:val="21"/>
              </w:rPr>
              <w:t>表4-2</w:t>
            </w:r>
            <w:r>
              <w:rPr>
                <w:rFonts w:hint="eastAsia" w:ascii="Times New Roman" w:hAnsi="Times New Roman" w:cs="Times New Roman"/>
                <w:b/>
                <w:bCs/>
                <w:szCs w:val="21"/>
                <w:lang w:val="en-US" w:eastAsia="zh-CN"/>
              </w:rPr>
              <w:t>2</w:t>
            </w:r>
            <w:r>
              <w:rPr>
                <w:rFonts w:hint="default" w:ascii="Times New Roman" w:hAnsi="Times New Roman" w:cs="Times New Roman"/>
                <w:b/>
                <w:bCs/>
                <w:szCs w:val="21"/>
              </w:rPr>
              <w:t xml:space="preserve"> 建设项目环境风险简单分析内容表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192"/>
              <w:gridCol w:w="1607"/>
              <w:gridCol w:w="1529"/>
              <w:gridCol w:w="1463"/>
              <w:gridCol w:w="151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建设项目名称</w:t>
                  </w:r>
                </w:p>
              </w:tc>
              <w:tc>
                <w:tcPr>
                  <w:tcW w:w="3680" w:type="pct"/>
                  <w:gridSpan w:val="4"/>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cs="Times New Roman"/>
                      <w:color w:val="auto"/>
                      <w:szCs w:val="21"/>
                      <w:lang w:eastAsia="zh-CN"/>
                    </w:rPr>
                    <w:t>XR光学模组研发及制造总部基地一期项目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建设地点</w:t>
                  </w:r>
                </w:p>
              </w:tc>
              <w:tc>
                <w:tcPr>
                  <w:tcW w:w="3680" w:type="pct"/>
                  <w:gridSpan w:val="4"/>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江西省上饶经济技术开发区兴业大道21号A栋</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地理坐标</w:t>
                  </w:r>
                </w:p>
              </w:tc>
              <w:tc>
                <w:tcPr>
                  <w:tcW w:w="967" w:type="pct"/>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经度</w:t>
                  </w:r>
                </w:p>
              </w:tc>
              <w:tc>
                <w:tcPr>
                  <w:tcW w:w="92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11</w:t>
                  </w:r>
                  <w:r>
                    <w:rPr>
                      <w:rFonts w:hint="eastAsia"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52</w:t>
                  </w:r>
                  <w:r>
                    <w:rPr>
                      <w:rFonts w:hint="default" w:ascii="Times New Roman" w:hAnsi="Times New Roman" w:eastAsia="宋体" w:cs="Times New Roman"/>
                      <w:color w:val="auto"/>
                      <w:sz w:val="21"/>
                      <w:szCs w:val="21"/>
                      <w:highlight w:val="none"/>
                      <w:lang w:val="en-US" w:eastAsia="zh-CN"/>
                    </w:rPr>
                    <w:t>′36.415″</w:t>
                  </w:r>
                </w:p>
              </w:tc>
              <w:tc>
                <w:tcPr>
                  <w:tcW w:w="88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纬度</w:t>
                  </w:r>
                </w:p>
              </w:tc>
              <w:tc>
                <w:tcPr>
                  <w:tcW w:w="91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yellow"/>
                    </w:rPr>
                  </w:pPr>
                  <w:r>
                    <w:rPr>
                      <w:rFonts w:hint="default" w:ascii="Times New Roman" w:hAnsi="Times New Roman" w:eastAsia="宋体" w:cs="Times New Roman"/>
                      <w:color w:val="auto"/>
                      <w:sz w:val="21"/>
                      <w:szCs w:val="21"/>
                      <w:highlight w:val="none"/>
                      <w:lang w:val="en-US" w:eastAsia="zh-CN"/>
                    </w:rPr>
                    <w:t>28°24′</w:t>
                  </w:r>
                  <w:r>
                    <w:rPr>
                      <w:rFonts w:hint="eastAsia" w:ascii="Times New Roman" w:hAnsi="Times New Roman" w:eastAsia="宋体" w:cs="Times New Roman"/>
                      <w:color w:val="auto"/>
                      <w:sz w:val="21"/>
                      <w:szCs w:val="21"/>
                      <w:highlight w:val="none"/>
                      <w:lang w:val="en-US" w:eastAsia="zh-CN"/>
                    </w:rPr>
                    <w:t>50.242</w:t>
                  </w:r>
                  <w:r>
                    <w:rPr>
                      <w:rFonts w:hint="default" w:ascii="Times New Roman" w:hAnsi="Times New Roman" w:eastAsia="宋体"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主要危险物质及分布</w:t>
                  </w:r>
                </w:p>
              </w:tc>
              <w:tc>
                <w:tcPr>
                  <w:tcW w:w="3680" w:type="pct"/>
                  <w:gridSpan w:val="4"/>
                  <w:tcBorders>
                    <w:lef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酒精</w:t>
                  </w:r>
                  <w:r>
                    <w:rPr>
                      <w:rFonts w:hint="default"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原料、危险废物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环境影响途径及危害后果</w:t>
                  </w:r>
                </w:p>
              </w:tc>
              <w:tc>
                <w:tcPr>
                  <w:tcW w:w="3680" w:type="pct"/>
                  <w:gridSpan w:val="4"/>
                  <w:tcBorders>
                    <w:lef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①项目车间引起火灾，产生的烟气对周围大气环境产生影响，以及产生的消防水泄露，将会污染地表水、土壤与地下水。</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Cs w:val="21"/>
                    </w:rPr>
                    <w:t>②危废</w:t>
                  </w:r>
                  <w:r>
                    <w:rPr>
                      <w:rFonts w:hint="default" w:ascii="Times New Roman" w:hAnsi="Times New Roman" w:eastAsia="宋体" w:cs="Times New Roman"/>
                      <w:color w:val="auto"/>
                      <w:szCs w:val="21"/>
                      <w:lang w:val="en-US" w:eastAsia="zh-CN"/>
                    </w:rPr>
                    <w:t>暂存间、</w:t>
                  </w:r>
                  <w:r>
                    <w:rPr>
                      <w:rFonts w:hint="eastAsia" w:ascii="Times New Roman" w:hAnsi="Times New Roman" w:cs="Times New Roman"/>
                      <w:color w:val="auto"/>
                      <w:u w:val="none"/>
                      <w:lang w:val="en-US" w:eastAsia="zh-CN"/>
                    </w:rPr>
                    <w:t>原料仓</w:t>
                  </w:r>
                  <w:r>
                    <w:rPr>
                      <w:rFonts w:hint="default" w:ascii="Times New Roman" w:hAnsi="Times New Roman" w:eastAsia="宋体" w:cs="Times New Roman"/>
                      <w:color w:val="auto"/>
                      <w:szCs w:val="21"/>
                    </w:rPr>
                    <w:t>发生破损，造成泄露</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会对</w:t>
                  </w:r>
                  <w:r>
                    <w:rPr>
                      <w:rFonts w:hint="default" w:ascii="Times New Roman" w:hAnsi="Times New Roman" w:eastAsia="宋体" w:cs="Times New Roman"/>
                      <w:color w:val="auto"/>
                      <w:szCs w:val="21"/>
                    </w:rPr>
                    <w:t>地下水环境</w:t>
                  </w:r>
                  <w:r>
                    <w:rPr>
                      <w:rFonts w:hint="default" w:ascii="Times New Roman" w:hAnsi="Times New Roman" w:eastAsia="宋体" w:cs="Times New Roman"/>
                      <w:color w:val="auto"/>
                      <w:szCs w:val="21"/>
                      <w:lang w:val="en-US" w:eastAsia="zh-CN"/>
                    </w:rPr>
                    <w:t>和土壤造成污染。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319" w:type="pct"/>
                  <w:tcBorders>
                    <w:right w:val="single" w:color="auto" w:sz="12"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baseline"/>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风险防范措施要求</w:t>
                  </w:r>
                </w:p>
              </w:tc>
              <w:tc>
                <w:tcPr>
                  <w:tcW w:w="3680" w:type="pct"/>
                  <w:gridSpan w:val="4"/>
                  <w:tcBorders>
                    <w:lef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①加强职工的培训，提高风险防范意识</w:t>
                  </w:r>
                  <w:r>
                    <w:rPr>
                      <w:rFonts w:hint="default" w:ascii="Times New Roman" w:hAnsi="Times New Roman" w:eastAsia="宋体" w:cs="Times New Roman"/>
                      <w:color w:val="auto"/>
                      <w:lang w:eastAsia="zh-CN"/>
                    </w:rPr>
                    <w:t>；</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②针对运营中可能发生的异常现象和存在的风险隐患，设置合理可行的技术措施，制定严格的操作规程</w:t>
                  </w:r>
                  <w:r>
                    <w:rPr>
                      <w:rFonts w:hint="default" w:ascii="Times New Roman" w:hAnsi="Times New Roman" w:eastAsia="宋体" w:cs="Times New Roman"/>
                      <w:color w:val="auto"/>
                      <w:lang w:eastAsia="zh-CN"/>
                    </w:rPr>
                    <w:t>；</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③建立健全安全、环境管理体系及高效的安全生产机构，一旦发生事故，要做到快速、高效、安全处置</w:t>
                  </w:r>
                  <w:r>
                    <w:rPr>
                      <w:rFonts w:hint="default" w:ascii="Times New Roman" w:hAnsi="Times New Roman" w:eastAsia="宋体" w:cs="Times New Roman"/>
                      <w:color w:val="auto"/>
                      <w:lang w:eastAsia="zh-CN"/>
                    </w:rPr>
                    <w:t>；</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rPr>
                    <w:t>④危险废物</w:t>
                  </w:r>
                  <w:r>
                    <w:rPr>
                      <w:rFonts w:hint="eastAsia" w:ascii="Times New Roman" w:hAnsi="Times New Roman" w:eastAsia="宋体" w:cs="Times New Roman"/>
                      <w:color w:val="auto"/>
                      <w:lang w:val="en-US" w:eastAsia="zh-CN"/>
                    </w:rPr>
                    <w:t>、原辅料</w:t>
                  </w:r>
                  <w:r>
                    <w:rPr>
                      <w:rFonts w:hint="default" w:ascii="Times New Roman" w:hAnsi="Times New Roman" w:eastAsia="宋体" w:cs="Times New Roman"/>
                      <w:color w:val="auto"/>
                    </w:rPr>
                    <w:t>贮存场所应建有堵截泄漏的措施，地面用坚固的防渗材料建造；应有隔离设施和防风、防晒、防雨设施</w:t>
                  </w:r>
                  <w:r>
                    <w:rPr>
                      <w:rFonts w:hint="default" w:ascii="Times New Roman" w:hAnsi="Times New Roman" w:eastAsia="宋体" w:cs="Times New Roman"/>
                      <w:color w:val="auto"/>
                      <w:lang w:eastAsia="zh-CN"/>
                    </w:rPr>
                    <w:t>。</w:t>
                  </w:r>
                </w:p>
              </w:tc>
            </w:tr>
          </w:tbl>
          <w:p>
            <w:pPr>
              <w:widowControl/>
              <w:overflowPunct w:val="0"/>
              <w:topLinePunct/>
              <w:autoSpaceDE w:val="0"/>
              <w:snapToGrid w:val="0"/>
              <w:spacing w:before="120" w:beforeLines="50" w:line="360" w:lineRule="auto"/>
              <w:ind w:firstLine="422" w:firstLineChars="175"/>
              <w:rPr>
                <w:rFonts w:hint="default" w:ascii="Times New Roman" w:hAnsi="Times New Roman" w:cs="Times New Roman"/>
                <w:b/>
                <w:bCs/>
                <w:sz w:val="24"/>
                <w:szCs w:val="24"/>
              </w:rPr>
            </w:pPr>
            <w:r>
              <w:rPr>
                <w:rFonts w:hint="eastAsia" w:ascii="Times New Roman" w:hAnsi="Times New Roman" w:cs="Times New Roman"/>
                <w:b/>
                <w:snapToGrid w:val="0"/>
                <w:sz w:val="24"/>
                <w:szCs w:val="24"/>
                <w:lang w:val="en-US" w:eastAsia="zh-CN"/>
              </w:rPr>
              <w:t>9</w:t>
            </w:r>
            <w:r>
              <w:rPr>
                <w:rFonts w:hint="default" w:ascii="Times New Roman" w:hAnsi="Times New Roman" w:cs="Times New Roman"/>
                <w:b/>
                <w:snapToGrid w:val="0"/>
                <w:sz w:val="24"/>
                <w:szCs w:val="24"/>
              </w:rPr>
              <w:t>、环境管理与监测</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（1）环境管理</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项目运营后，应提高对环境保护工作的认识，加强环保教育，建立健全环境保护管理制度体系，并设立专门的环境保护机构，配备专职人员负责项目日常的环保工作，其主要职能为：</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①负责项目设备的维护和清洁；</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②负责项目公共场地的卫生保洁，做好垃圾分类的宣传工作，分类垃圾从每个人做起，加强垃圾存放管理，及时清运处理；</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③配合当地环保部门对相关环保设施及投资进行竣工验收；</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④做好项目的日常环境监测，重点是对噪声、废气等实施监测；同时应配合当地环境监测机构对项目运营期间的环境监测工作。</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（2）排污口规范化</w:t>
            </w:r>
            <w:bookmarkStart w:id="55" w:name="_GoBack"/>
            <w:bookmarkEnd w:id="55"/>
            <w:r>
              <w:rPr>
                <w:rFonts w:hint="default" w:ascii="Times New Roman" w:hAnsi="Times New Roman" w:cs="Times New Roman"/>
                <w:sz w:val="24"/>
                <w:szCs w:val="24"/>
              </w:rPr>
              <w:t>设置</w:t>
            </w:r>
          </w:p>
          <w:p>
            <w:pPr>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 w:val="24"/>
                <w:szCs w:val="24"/>
              </w:rPr>
              <w:t>废水排放口、固定噪声源、固体废物贮存和排气筒必须按照《江西省排污口设置与规范化整治管理办法》进行建设，应符合“一明显、二合理、三便于”的要求，即环保标志明显，排污口（接管口）设置合理，便于采集样品、便于监测计量、便于公众参与和监督管理。同时要求按照国家环保总局制定的《环境保护图形标志实施细则（试行）》的规定，设置与排污口相应的图形标志牌。排污口管理。建设单位应在各个排污口处树立标志牌，并如实填写《中华人民共和国规范化排污口标记登记证》，由环保部门签发。环保主管部门和建设单位可分别按以下内容建立排污口管理的专门档案：排污口性质和编号；位置；排放主要污染物种类、数量、浓度；排放去向；达标情况；治理设施运行情况及整改意见。</w:t>
            </w:r>
          </w:p>
          <w:p>
            <w:pPr>
              <w:pStyle w:val="95"/>
              <w:spacing w:before="0" w:beforeLines="0" w:line="240" w:lineRule="auto"/>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表4-2</w:t>
            </w:r>
            <w:r>
              <w:rPr>
                <w:rFonts w:hint="eastAsia" w:eastAsia="宋体" w:cs="Times New Roman"/>
                <w:b/>
                <w:bCs/>
                <w:color w:val="auto"/>
                <w:sz w:val="21"/>
                <w:szCs w:val="21"/>
                <w:lang w:val="en-US" w:eastAsia="zh-CN"/>
              </w:rPr>
              <w:t>3</w:t>
            </w:r>
            <w:r>
              <w:rPr>
                <w:rFonts w:hint="default" w:ascii="Times New Roman" w:hAnsi="Times New Roman" w:eastAsia="宋体" w:cs="Times New Roman"/>
                <w:b/>
                <w:bCs/>
                <w:color w:val="auto"/>
                <w:sz w:val="21"/>
                <w:szCs w:val="21"/>
              </w:rPr>
              <w:t xml:space="preserve"> 环境保护图形标志的形状及颜色表</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2077"/>
              <w:gridCol w:w="2079"/>
              <w:gridCol w:w="20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exact"/>
                <w:tblHeader/>
                <w:jc w:val="center"/>
              </w:trPr>
              <w:tc>
                <w:tcPr>
                  <w:tcW w:w="2077"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标志名称</w:t>
                  </w:r>
                </w:p>
              </w:tc>
              <w:tc>
                <w:tcPr>
                  <w:tcW w:w="2077"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形状</w:t>
                  </w:r>
                </w:p>
              </w:tc>
              <w:tc>
                <w:tcPr>
                  <w:tcW w:w="2079"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背景颜色</w:t>
                  </w:r>
                </w:p>
              </w:tc>
              <w:tc>
                <w:tcPr>
                  <w:tcW w:w="2079" w:type="dxa"/>
                  <w:tcBorders>
                    <w:bottom w:val="single" w:color="auto" w:sz="12" w:space="0"/>
                  </w:tcBorders>
                  <w:noWrap w:val="0"/>
                  <w:vAlign w:val="center"/>
                </w:tcPr>
                <w:p>
                  <w:pPr>
                    <w:pStyle w:val="90"/>
                    <w:rPr>
                      <w:rFonts w:hint="default" w:ascii="Times New Roman" w:hAnsi="Times New Roman" w:cs="Times New Roman"/>
                      <w:b/>
                      <w:szCs w:val="21"/>
                    </w:rPr>
                  </w:pPr>
                  <w:r>
                    <w:rPr>
                      <w:rFonts w:hint="default" w:ascii="Times New Roman" w:hAnsi="Times New Roman" w:cs="Times New Roman"/>
                      <w:b/>
                      <w:szCs w:val="21"/>
                    </w:rPr>
                    <w:t>图形颜色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2077"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警告标志</w:t>
                  </w:r>
                </w:p>
              </w:tc>
              <w:tc>
                <w:tcPr>
                  <w:tcW w:w="2077"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三角形边框</w:t>
                  </w:r>
                </w:p>
              </w:tc>
              <w:tc>
                <w:tcPr>
                  <w:tcW w:w="2079"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黄色</w:t>
                  </w:r>
                </w:p>
              </w:tc>
              <w:tc>
                <w:tcPr>
                  <w:tcW w:w="2079" w:type="dxa"/>
                  <w:tcBorders>
                    <w:top w:val="single" w:color="auto" w:sz="12" w:space="0"/>
                  </w:tcBorders>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黑色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2077"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提示标志</w:t>
                  </w:r>
                </w:p>
              </w:tc>
              <w:tc>
                <w:tcPr>
                  <w:tcW w:w="2077"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正方形边框</w:t>
                  </w:r>
                </w:p>
              </w:tc>
              <w:tc>
                <w:tcPr>
                  <w:tcW w:w="2079"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绿色</w:t>
                  </w:r>
                </w:p>
              </w:tc>
              <w:tc>
                <w:tcPr>
                  <w:tcW w:w="2079" w:type="dxa"/>
                  <w:noWrap w:val="0"/>
                  <w:vAlign w:val="center"/>
                </w:tcPr>
                <w:p>
                  <w:pPr>
                    <w:pStyle w:val="90"/>
                    <w:rPr>
                      <w:rFonts w:hint="default" w:ascii="Times New Roman" w:hAnsi="Times New Roman" w:cs="Times New Roman"/>
                      <w:szCs w:val="21"/>
                    </w:rPr>
                  </w:pPr>
                  <w:r>
                    <w:rPr>
                      <w:rFonts w:hint="default" w:ascii="Times New Roman" w:hAnsi="Times New Roman" w:cs="Times New Roman"/>
                      <w:szCs w:val="21"/>
                    </w:rPr>
                    <w:t>白色</w:t>
                  </w:r>
                </w:p>
              </w:tc>
            </w:tr>
          </w:tbl>
          <w:p>
            <w:pPr>
              <w:pStyle w:val="95"/>
              <w:spacing w:before="120" w:line="240" w:lineRule="auto"/>
              <w:ind w:firstLine="422"/>
              <w:jc w:val="center"/>
              <w:rPr>
                <w:rFonts w:hint="default" w:ascii="Times New Roman" w:hAnsi="Times New Roman" w:eastAsia="宋体" w:cs="Times New Roman"/>
                <w:b/>
                <w:bCs/>
                <w:color w:val="auto"/>
                <w:sz w:val="21"/>
                <w:szCs w:val="21"/>
              </w:rPr>
            </w:pPr>
          </w:p>
          <w:p>
            <w:pPr>
              <w:pStyle w:val="95"/>
              <w:spacing w:before="120" w:line="240" w:lineRule="auto"/>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w:t>
            </w:r>
            <w:r>
              <w:rPr>
                <w:rFonts w:hint="eastAsia" w:ascii="Times New Roman" w:hAnsi="Times New Roman" w:eastAsia="宋体" w:cs="Times New Roman"/>
                <w:b/>
                <w:bCs/>
                <w:color w:val="auto"/>
                <w:sz w:val="21"/>
                <w:szCs w:val="21"/>
                <w:lang w:val="en-US" w:eastAsia="zh-CN"/>
              </w:rPr>
              <w:t>24</w:t>
            </w:r>
            <w:r>
              <w:rPr>
                <w:rFonts w:hint="default" w:ascii="Times New Roman" w:hAnsi="Times New Roman" w:eastAsia="宋体" w:cs="Times New Roman"/>
                <w:b/>
                <w:bCs/>
                <w:color w:val="auto"/>
                <w:sz w:val="21"/>
                <w:szCs w:val="21"/>
              </w:rPr>
              <w:t xml:space="preserve">  环境保护图形符号一览表</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89"/>
              <w:gridCol w:w="2034"/>
              <w:gridCol w:w="1460"/>
              <w:gridCol w:w="21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704"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序号</w:t>
                  </w:r>
                </w:p>
              </w:tc>
              <w:tc>
                <w:tcPr>
                  <w:tcW w:w="1989"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提示图形符号</w:t>
                  </w:r>
                </w:p>
              </w:tc>
              <w:tc>
                <w:tcPr>
                  <w:tcW w:w="2034"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警告图形符号</w:t>
                  </w:r>
                </w:p>
              </w:tc>
              <w:tc>
                <w:tcPr>
                  <w:tcW w:w="1460"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名称</w:t>
                  </w:r>
                </w:p>
              </w:tc>
              <w:tc>
                <w:tcPr>
                  <w:tcW w:w="2125" w:type="dxa"/>
                  <w:tcBorders>
                    <w:bottom w:val="single" w:color="auto" w:sz="12" w:space="0"/>
                  </w:tcBorders>
                  <w:noWrap w:val="0"/>
                  <w:vAlign w:val="center"/>
                </w:tcPr>
                <w:p>
                  <w:pPr>
                    <w:pStyle w:val="90"/>
                    <w:spacing w:line="240" w:lineRule="atLeast"/>
                    <w:rPr>
                      <w:rFonts w:hint="default" w:ascii="Times New Roman" w:hAnsi="Times New Roman" w:cs="Times New Roman"/>
                      <w:b/>
                      <w:szCs w:val="21"/>
                    </w:rPr>
                  </w:pPr>
                  <w:r>
                    <w:rPr>
                      <w:rFonts w:hint="default" w:ascii="Times New Roman" w:hAnsi="Times New Roman" w:cs="Times New Roman"/>
                      <w:b/>
                      <w:szCs w:val="21"/>
                    </w:rPr>
                    <w:t>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1</w:t>
                  </w:r>
                </w:p>
              </w:tc>
              <w:tc>
                <w:tcPr>
                  <w:tcW w:w="1989"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090" cy="856615"/>
                        <wp:effectExtent l="0" t="0" r="10160" b="635"/>
                        <wp:docPr id="17" name="图片 14" descr="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13001"/>
                                <pic:cNvPicPr>
                                  <a:picLocks noChangeAspect="1"/>
                                </pic:cNvPicPr>
                              </pic:nvPicPr>
                              <pic:blipFill>
                                <a:blip r:embed="rId27"/>
                                <a:stretch>
                                  <a:fillRect/>
                                </a:stretch>
                              </pic:blipFill>
                              <pic:spPr>
                                <a:xfrm>
                                  <a:off x="0" y="0"/>
                                  <a:ext cx="847090" cy="856615"/>
                                </a:xfrm>
                                <a:prstGeom prst="rect">
                                  <a:avLst/>
                                </a:prstGeom>
                                <a:noFill/>
                                <a:ln>
                                  <a:noFill/>
                                </a:ln>
                              </pic:spPr>
                            </pic:pic>
                          </a:graphicData>
                        </a:graphic>
                      </wp:inline>
                    </w:drawing>
                  </w:r>
                </w:p>
              </w:tc>
              <w:tc>
                <w:tcPr>
                  <w:tcW w:w="2034"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725" cy="857250"/>
                        <wp:effectExtent l="0" t="0" r="9525" b="0"/>
                        <wp:docPr id="18" name="图片 15" descr="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13002"/>
                                <pic:cNvPicPr>
                                  <a:picLocks noChangeAspect="1"/>
                                </pic:cNvPicPr>
                              </pic:nvPicPr>
                              <pic:blipFill>
                                <a:blip r:embed="rId28"/>
                                <a:stretch>
                                  <a:fillRect/>
                                </a:stretch>
                              </pic:blipFill>
                              <pic:spPr>
                                <a:xfrm>
                                  <a:off x="0" y="0"/>
                                  <a:ext cx="847725" cy="857250"/>
                                </a:xfrm>
                                <a:prstGeom prst="rect">
                                  <a:avLst/>
                                </a:prstGeom>
                                <a:noFill/>
                                <a:ln>
                                  <a:noFill/>
                                </a:ln>
                              </pic:spPr>
                            </pic:pic>
                          </a:graphicData>
                        </a:graphic>
                      </wp:inline>
                    </w:drawing>
                  </w:r>
                </w:p>
              </w:tc>
              <w:tc>
                <w:tcPr>
                  <w:tcW w:w="1460"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废水排放口</w:t>
                  </w:r>
                </w:p>
              </w:tc>
              <w:tc>
                <w:tcPr>
                  <w:tcW w:w="2125" w:type="dxa"/>
                  <w:tcBorders>
                    <w:top w:val="single" w:color="auto" w:sz="12" w:space="0"/>
                  </w:tcBorders>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表示废水向水体排放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2</w:t>
                  </w:r>
                </w:p>
              </w:tc>
              <w:tc>
                <w:tcPr>
                  <w:tcW w:w="1989"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725" cy="809625"/>
                        <wp:effectExtent l="0" t="0" r="9525" b="9525"/>
                        <wp:docPr id="19" name="图片 16" descr="说明: 说明: 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说明: 说明: 13003"/>
                                <pic:cNvPicPr>
                                  <a:picLocks noChangeAspect="1"/>
                                </pic:cNvPicPr>
                              </pic:nvPicPr>
                              <pic:blipFill>
                                <a:blip r:embed="rId29"/>
                                <a:stretch>
                                  <a:fillRect/>
                                </a:stretch>
                              </pic:blipFill>
                              <pic:spPr>
                                <a:xfrm>
                                  <a:off x="0" y="0"/>
                                  <a:ext cx="847725" cy="809625"/>
                                </a:xfrm>
                                <a:prstGeom prst="rect">
                                  <a:avLst/>
                                </a:prstGeom>
                                <a:noFill/>
                                <a:ln>
                                  <a:noFill/>
                                </a:ln>
                              </pic:spPr>
                            </pic:pic>
                          </a:graphicData>
                        </a:graphic>
                      </wp:inline>
                    </w:drawing>
                  </w: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85825" cy="885825"/>
                        <wp:effectExtent l="0" t="0" r="9525" b="9525"/>
                        <wp:docPr id="20" name="图片 17" descr="说明: 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说明: 说明: 4"/>
                                <pic:cNvPicPr>
                                  <a:picLocks noChangeAspect="1"/>
                                </pic:cNvPicPr>
                              </pic:nvPicPr>
                              <pic:blipFill>
                                <a:blip r:embed="rId30"/>
                                <a:stretch>
                                  <a:fillRect/>
                                </a:stretch>
                              </pic:blipFill>
                              <pic:spPr>
                                <a:xfrm>
                                  <a:off x="0" y="0"/>
                                  <a:ext cx="885825" cy="885825"/>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napToGrid w:val="0"/>
                      <w:szCs w:val="21"/>
                    </w:rPr>
                    <w:t>废气排放口</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napToGrid w:val="0"/>
                      <w:szCs w:val="21"/>
                    </w:rPr>
                    <w:t>表示废气向大气环境排放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3</w:t>
                  </w:r>
                </w:p>
              </w:tc>
              <w:tc>
                <w:tcPr>
                  <w:tcW w:w="1989"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847090" cy="856615"/>
                        <wp:effectExtent l="0" t="0" r="10160" b="635"/>
                        <wp:docPr id="21" name="图片 18"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descr="14001"/>
                                <pic:cNvPicPr>
                                  <a:picLocks noChangeAspect="1"/>
                                </pic:cNvPicPr>
                              </pic:nvPicPr>
                              <pic:blipFill>
                                <a:blip r:embed="rId31"/>
                                <a:stretch>
                                  <a:fillRect/>
                                </a:stretch>
                              </pic:blipFill>
                              <pic:spPr>
                                <a:xfrm>
                                  <a:off x="0" y="0"/>
                                  <a:ext cx="847090" cy="856615"/>
                                </a:xfrm>
                                <a:prstGeom prst="rect">
                                  <a:avLst/>
                                </a:prstGeom>
                                <a:noFill/>
                                <a:ln>
                                  <a:noFill/>
                                </a:ln>
                              </pic:spPr>
                            </pic:pic>
                          </a:graphicData>
                        </a:graphic>
                      </wp:inline>
                    </w:drawing>
                  </w: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13765" cy="856615"/>
                        <wp:effectExtent l="0" t="0" r="635" b="635"/>
                        <wp:docPr id="22" name="图片 19"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descr="14002"/>
                                <pic:cNvPicPr>
                                  <a:picLocks noChangeAspect="1"/>
                                </pic:cNvPicPr>
                              </pic:nvPicPr>
                              <pic:blipFill>
                                <a:blip r:embed="rId32"/>
                                <a:stretch>
                                  <a:fillRect/>
                                </a:stretch>
                              </pic:blipFill>
                              <pic:spPr>
                                <a:xfrm>
                                  <a:off x="0" y="0"/>
                                  <a:ext cx="913765" cy="856615"/>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一般固体废物</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表示一般固体废物贮存、处置场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4</w:t>
                  </w:r>
                </w:p>
              </w:tc>
              <w:tc>
                <w:tcPr>
                  <w:tcW w:w="1989" w:type="dxa"/>
                  <w:noWrap w:val="0"/>
                  <w:vAlign w:val="center"/>
                </w:tcPr>
                <w:p>
                  <w:pPr>
                    <w:pStyle w:val="90"/>
                    <w:spacing w:line="240" w:lineRule="atLeast"/>
                    <w:rPr>
                      <w:rFonts w:hint="eastAsia" w:ascii="Times New Roman" w:hAnsi="Times New Roman" w:eastAsia="宋体" w:cs="Times New Roman"/>
                      <w:szCs w:val="21"/>
                      <w:lang w:val="en-US" w:eastAsia="zh-CN"/>
                    </w:rPr>
                  </w:pP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46150" cy="851535"/>
                        <wp:effectExtent l="0" t="0" r="6350" b="5715"/>
                        <wp:docPr id="23" name="图片 20"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descr="timg"/>
                                <pic:cNvPicPr>
                                  <a:picLocks noChangeAspect="1"/>
                                </pic:cNvPicPr>
                              </pic:nvPicPr>
                              <pic:blipFill>
                                <a:blip r:embed="rId33"/>
                                <a:srcRect b="15723"/>
                                <a:stretch>
                                  <a:fillRect/>
                                </a:stretch>
                              </pic:blipFill>
                              <pic:spPr>
                                <a:xfrm>
                                  <a:off x="0" y="0"/>
                                  <a:ext cx="946150" cy="851535"/>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危险废物</w:t>
                  </w:r>
                  <w:r>
                    <w:rPr>
                      <w:rFonts w:hint="default" w:ascii="Times New Roman" w:hAnsi="Times New Roman" w:cs="Times New Roman"/>
                      <w:szCs w:val="21"/>
                      <w:vertAlign w:val="superscript"/>
                    </w:rPr>
                    <w:t>*</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表示危险废物贮存、处置场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5</w:t>
                  </w:r>
                </w:p>
              </w:tc>
              <w:tc>
                <w:tcPr>
                  <w:tcW w:w="1989"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22655" cy="922655"/>
                        <wp:effectExtent l="0" t="0" r="10795" b="10795"/>
                        <wp:docPr id="24" name="图片 21" descr="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200602201518049853"/>
                                <pic:cNvPicPr>
                                  <a:picLocks noChangeAspect="1"/>
                                </pic:cNvPicPr>
                              </pic:nvPicPr>
                              <pic:blipFill>
                                <a:blip r:embed="rId34"/>
                                <a:stretch>
                                  <a:fillRect/>
                                </a:stretch>
                              </pic:blipFill>
                              <pic:spPr>
                                <a:xfrm>
                                  <a:off x="0" y="0"/>
                                  <a:ext cx="922655" cy="922655"/>
                                </a:xfrm>
                                <a:prstGeom prst="rect">
                                  <a:avLst/>
                                </a:prstGeom>
                                <a:noFill/>
                                <a:ln>
                                  <a:noFill/>
                                </a:ln>
                              </pic:spPr>
                            </pic:pic>
                          </a:graphicData>
                        </a:graphic>
                      </wp:inline>
                    </w:drawing>
                  </w:r>
                </w:p>
              </w:tc>
              <w:tc>
                <w:tcPr>
                  <w:tcW w:w="2034"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drawing>
                      <wp:inline distT="0" distB="0" distL="114300" distR="114300">
                        <wp:extent cx="953135" cy="848360"/>
                        <wp:effectExtent l="0" t="0" r="18415" b="8890"/>
                        <wp:docPr id="25" name="图片 22" descr="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200602201519018631"/>
                                <pic:cNvPicPr>
                                  <a:picLocks noChangeAspect="1"/>
                                </pic:cNvPicPr>
                              </pic:nvPicPr>
                              <pic:blipFill>
                                <a:blip r:embed="rId35"/>
                                <a:stretch>
                                  <a:fillRect/>
                                </a:stretch>
                              </pic:blipFill>
                              <pic:spPr>
                                <a:xfrm>
                                  <a:off x="0" y="0"/>
                                  <a:ext cx="953135" cy="848360"/>
                                </a:xfrm>
                                <a:prstGeom prst="rect">
                                  <a:avLst/>
                                </a:prstGeom>
                                <a:noFill/>
                                <a:ln>
                                  <a:noFill/>
                                </a:ln>
                              </pic:spPr>
                            </pic:pic>
                          </a:graphicData>
                        </a:graphic>
                      </wp:inline>
                    </w:drawing>
                  </w:r>
                </w:p>
              </w:tc>
              <w:tc>
                <w:tcPr>
                  <w:tcW w:w="1460"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噪声排放源</w:t>
                  </w:r>
                </w:p>
              </w:tc>
              <w:tc>
                <w:tcPr>
                  <w:tcW w:w="2125" w:type="dxa"/>
                  <w:noWrap w:val="0"/>
                  <w:vAlign w:val="center"/>
                </w:tcPr>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表示噪声向外环境</w:t>
                  </w:r>
                </w:p>
                <w:p>
                  <w:pPr>
                    <w:pStyle w:val="90"/>
                    <w:spacing w:line="240" w:lineRule="atLeast"/>
                    <w:rPr>
                      <w:rFonts w:hint="default" w:ascii="Times New Roman" w:hAnsi="Times New Roman" w:cs="Times New Roman"/>
                      <w:szCs w:val="21"/>
                    </w:rPr>
                  </w:pPr>
                  <w:r>
                    <w:rPr>
                      <w:rFonts w:hint="default" w:ascii="Times New Roman" w:hAnsi="Times New Roman" w:cs="Times New Roman"/>
                      <w:szCs w:val="21"/>
                    </w:rPr>
                    <w:t>排放</w:t>
                  </w:r>
                </w:p>
              </w:tc>
            </w:tr>
          </w:tbl>
          <w:p>
            <w:pPr>
              <w:spacing w:line="336" w:lineRule="auto"/>
              <w:ind w:firstLine="480" w:firstLineChars="200"/>
              <w:outlineLvl w:val="0"/>
              <w:rPr>
                <w:rFonts w:hint="default" w:ascii="Times New Roman" w:hAnsi="Times New Roman" w:cs="Times New Roman"/>
                <w:snapToGrid w:val="0"/>
                <w:sz w:val="24"/>
                <w:szCs w:val="24"/>
              </w:rPr>
            </w:pPr>
            <w:bookmarkStart w:id="30" w:name="_Toc14068"/>
            <w:bookmarkStart w:id="31" w:name="_Toc12355"/>
            <w:r>
              <w:rPr>
                <w:rFonts w:hint="default" w:ascii="Times New Roman" w:hAnsi="Times New Roman" w:cs="Times New Roman"/>
                <w:snapToGrid w:val="0"/>
                <w:sz w:val="24"/>
                <w:szCs w:val="24"/>
              </w:rPr>
              <w:t>①废水排放口</w:t>
            </w:r>
            <w:bookmarkEnd w:id="30"/>
            <w:bookmarkEnd w:id="31"/>
          </w:p>
          <w:p>
            <w:pPr>
              <w:spacing w:line="336" w:lineRule="auto"/>
              <w:ind w:firstLine="480" w:firstLineChars="200"/>
              <w:outlineLvl w:val="0"/>
              <w:rPr>
                <w:rFonts w:hint="default" w:ascii="Times New Roman" w:hAnsi="Times New Roman" w:cs="Times New Roman"/>
                <w:snapToGrid w:val="0"/>
                <w:sz w:val="24"/>
                <w:szCs w:val="24"/>
              </w:rPr>
            </w:pPr>
            <w:bookmarkStart w:id="32" w:name="_Toc15048"/>
            <w:bookmarkStart w:id="33" w:name="_Toc5692"/>
            <w:r>
              <w:rPr>
                <w:rFonts w:hint="default" w:ascii="Times New Roman" w:hAnsi="Times New Roman" w:cs="Times New Roman"/>
                <w:snapToGrid w:val="0"/>
                <w:sz w:val="24"/>
                <w:szCs w:val="24"/>
              </w:rPr>
              <w:t>项目污水管网必须满足相应规范要求，以防止废水对周边环境造成较大的影响。</w:t>
            </w:r>
            <w:bookmarkEnd w:id="32"/>
            <w:bookmarkEnd w:id="33"/>
          </w:p>
          <w:p>
            <w:pPr>
              <w:spacing w:line="336" w:lineRule="auto"/>
              <w:ind w:firstLine="480" w:firstLineChars="200"/>
              <w:outlineLvl w:val="0"/>
              <w:rPr>
                <w:rFonts w:hint="default" w:ascii="Times New Roman" w:hAnsi="Times New Roman" w:cs="Times New Roman"/>
                <w:snapToGrid w:val="0"/>
                <w:sz w:val="24"/>
                <w:szCs w:val="24"/>
              </w:rPr>
            </w:pPr>
            <w:bookmarkStart w:id="34" w:name="_Toc5341"/>
            <w:bookmarkStart w:id="35" w:name="_Toc24112"/>
            <w:r>
              <w:rPr>
                <w:rFonts w:hint="default" w:ascii="Times New Roman" w:hAnsi="Times New Roman" w:cs="Times New Roman"/>
                <w:snapToGrid w:val="0"/>
                <w:sz w:val="24"/>
                <w:szCs w:val="24"/>
              </w:rPr>
              <w:t>②废气排放口</w:t>
            </w:r>
            <w:bookmarkEnd w:id="34"/>
            <w:bookmarkEnd w:id="35"/>
          </w:p>
          <w:p>
            <w:pPr>
              <w:spacing w:line="336" w:lineRule="auto"/>
              <w:ind w:firstLine="480" w:firstLineChars="200"/>
              <w:outlineLvl w:val="0"/>
              <w:rPr>
                <w:rFonts w:hint="default" w:ascii="Times New Roman" w:hAnsi="Times New Roman" w:cs="Times New Roman"/>
                <w:snapToGrid w:val="0"/>
                <w:sz w:val="24"/>
                <w:szCs w:val="24"/>
              </w:rPr>
            </w:pPr>
            <w:bookmarkStart w:id="36" w:name="_Toc24680"/>
            <w:bookmarkStart w:id="37" w:name="_Toc29344"/>
            <w:r>
              <w:rPr>
                <w:rFonts w:hint="default" w:ascii="Times New Roman" w:hAnsi="Times New Roman" w:cs="Times New Roman"/>
                <w:snapToGrid w:val="0"/>
                <w:sz w:val="24"/>
                <w:szCs w:val="24"/>
              </w:rPr>
              <w:t>废气排放口必须符合规定的高度和按《污染源监测技术规范》便于采样、监测的要求，设置直径不小于75mm的采样口。如无法满足要求的，其采样口与环境监测部门共同确认。</w:t>
            </w:r>
            <w:bookmarkEnd w:id="36"/>
            <w:bookmarkEnd w:id="37"/>
          </w:p>
          <w:p>
            <w:pPr>
              <w:spacing w:line="336" w:lineRule="auto"/>
              <w:ind w:firstLine="480" w:firstLineChars="200"/>
              <w:outlineLvl w:val="0"/>
              <w:rPr>
                <w:rFonts w:hint="default" w:ascii="Times New Roman" w:hAnsi="Times New Roman" w:cs="Times New Roman"/>
                <w:snapToGrid w:val="0"/>
                <w:sz w:val="24"/>
                <w:szCs w:val="24"/>
              </w:rPr>
            </w:pPr>
            <w:bookmarkStart w:id="38" w:name="_Toc22361"/>
            <w:bookmarkStart w:id="39" w:name="_Toc23640"/>
            <w:r>
              <w:rPr>
                <w:rFonts w:hint="default" w:ascii="Times New Roman" w:hAnsi="Times New Roman" w:cs="Times New Roman"/>
                <w:snapToGrid w:val="0"/>
                <w:sz w:val="24"/>
                <w:szCs w:val="24"/>
              </w:rPr>
              <w:t>③固定噪声源</w:t>
            </w:r>
            <w:bookmarkEnd w:id="38"/>
            <w:bookmarkEnd w:id="39"/>
          </w:p>
          <w:p>
            <w:pPr>
              <w:spacing w:line="336" w:lineRule="auto"/>
              <w:ind w:firstLine="480" w:firstLineChars="200"/>
              <w:outlineLvl w:val="0"/>
              <w:rPr>
                <w:rFonts w:hint="default" w:ascii="Times New Roman" w:hAnsi="Times New Roman" w:cs="Times New Roman"/>
                <w:snapToGrid w:val="0"/>
                <w:sz w:val="24"/>
                <w:szCs w:val="24"/>
              </w:rPr>
            </w:pPr>
            <w:bookmarkStart w:id="40" w:name="_Toc18691"/>
            <w:bookmarkStart w:id="41" w:name="_Toc20034"/>
            <w:r>
              <w:rPr>
                <w:rFonts w:hint="default" w:ascii="Times New Roman" w:hAnsi="Times New Roman" w:cs="Times New Roman"/>
                <w:snapToGrid w:val="0"/>
                <w:sz w:val="24"/>
                <w:szCs w:val="24"/>
              </w:rPr>
              <w:t>按规定对固定噪声源进行治理，并在边界噪声敏感点，且对外界影响最大处设置标志牌。</w:t>
            </w:r>
            <w:bookmarkEnd w:id="40"/>
            <w:bookmarkEnd w:id="41"/>
          </w:p>
          <w:p>
            <w:pPr>
              <w:spacing w:line="336" w:lineRule="auto"/>
              <w:ind w:firstLine="480" w:firstLineChars="200"/>
              <w:outlineLvl w:val="0"/>
              <w:rPr>
                <w:rFonts w:hint="default" w:ascii="Times New Roman" w:hAnsi="Times New Roman" w:cs="Times New Roman"/>
                <w:snapToGrid w:val="0"/>
                <w:sz w:val="24"/>
                <w:szCs w:val="24"/>
              </w:rPr>
            </w:pPr>
            <w:bookmarkStart w:id="42" w:name="_Toc11517"/>
            <w:bookmarkStart w:id="43" w:name="_Toc6328"/>
            <w:r>
              <w:rPr>
                <w:rFonts w:hint="default" w:ascii="Times New Roman" w:hAnsi="Times New Roman" w:cs="Times New Roman"/>
                <w:snapToGrid w:val="0"/>
                <w:sz w:val="24"/>
                <w:szCs w:val="24"/>
              </w:rPr>
              <w:t>④固体废物储存场</w:t>
            </w:r>
            <w:bookmarkEnd w:id="42"/>
            <w:bookmarkEnd w:id="43"/>
          </w:p>
          <w:p>
            <w:pPr>
              <w:spacing w:line="336" w:lineRule="auto"/>
              <w:ind w:firstLine="480" w:firstLineChars="200"/>
              <w:outlineLvl w:val="0"/>
              <w:rPr>
                <w:rFonts w:hint="default" w:ascii="Times New Roman" w:hAnsi="Times New Roman" w:cs="Times New Roman"/>
                <w:sz w:val="24"/>
                <w:szCs w:val="24"/>
              </w:rPr>
            </w:pPr>
            <w:bookmarkStart w:id="44" w:name="_Toc24779"/>
            <w:bookmarkStart w:id="45" w:name="_Toc4212"/>
            <w:r>
              <w:rPr>
                <w:rFonts w:hint="default" w:ascii="Times New Roman" w:hAnsi="Times New Roman" w:cs="Times New Roman"/>
                <w:snapToGrid w:val="0"/>
                <w:sz w:val="24"/>
                <w:szCs w:val="24"/>
              </w:rPr>
              <w:t>固体废物应采取防止二次扬尘措施，废物的堆存场必须设置专用堆放场地，有防扬散、防流失、防渗漏等措施</w:t>
            </w:r>
            <w:r>
              <w:rPr>
                <w:rFonts w:hint="default" w:ascii="Times New Roman" w:hAnsi="Times New Roman" w:cs="Times New Roman"/>
                <w:sz w:val="24"/>
                <w:szCs w:val="24"/>
              </w:rPr>
              <w:t>。</w:t>
            </w:r>
            <w:bookmarkEnd w:id="44"/>
            <w:bookmarkEnd w:id="45"/>
          </w:p>
          <w:p>
            <w:pPr>
              <w:pStyle w:val="96"/>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leftChars="0" w:right="0" w:rightChars="0" w:firstLine="506"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val="0"/>
                <w:color w:val="auto"/>
                <w:sz w:val="24"/>
                <w:szCs w:val="24"/>
                <w:lang w:val="en-US" w:eastAsia="zh-CN"/>
              </w:rPr>
              <w:t>10、</w:t>
            </w:r>
            <w:r>
              <w:rPr>
                <w:rFonts w:hint="default" w:ascii="Times New Roman" w:hAnsi="Times New Roman" w:eastAsia="宋体" w:cs="Times New Roman"/>
                <w:b/>
                <w:bCs w:val="0"/>
                <w:color w:val="auto"/>
                <w:sz w:val="24"/>
                <w:szCs w:val="24"/>
              </w:rPr>
              <w:t>环保设备和投资估算</w:t>
            </w:r>
          </w:p>
          <w:p>
            <w:pPr>
              <w:pStyle w:val="99"/>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right="0" w:firstLine="48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4"/>
                <w:szCs w:val="24"/>
              </w:rPr>
              <w:t>项目总投资</w:t>
            </w:r>
            <w:r>
              <w:rPr>
                <w:rFonts w:hint="eastAsia" w:cs="Times New Roman"/>
                <w:sz w:val="24"/>
                <w:szCs w:val="24"/>
                <w:lang w:val="en-US" w:eastAsia="zh-CN"/>
              </w:rPr>
              <w:t>12200</w:t>
            </w:r>
            <w:r>
              <w:rPr>
                <w:rFonts w:hint="default" w:ascii="Times New Roman" w:hAnsi="Times New Roman" w:eastAsia="宋体" w:cs="Times New Roman"/>
                <w:color w:val="auto"/>
                <w:sz w:val="24"/>
                <w:szCs w:val="24"/>
              </w:rPr>
              <w:t>万元，环保投资金额为</w:t>
            </w:r>
            <w:r>
              <w:rPr>
                <w:rFonts w:hint="eastAsia" w:cs="Times New Roman"/>
                <w:color w:val="auto"/>
                <w:sz w:val="24"/>
                <w:szCs w:val="24"/>
                <w:lang w:val="en-US" w:eastAsia="zh-CN"/>
              </w:rPr>
              <w:t>60</w:t>
            </w:r>
            <w:r>
              <w:rPr>
                <w:rFonts w:hint="default" w:ascii="Times New Roman" w:hAnsi="Times New Roman" w:eastAsia="宋体" w:cs="Times New Roman"/>
                <w:color w:val="auto"/>
                <w:sz w:val="24"/>
                <w:szCs w:val="24"/>
              </w:rPr>
              <w:t>万元，占项目总投资</w:t>
            </w:r>
            <w:r>
              <w:rPr>
                <w:rFonts w:hint="eastAsia" w:cs="Times New Roman"/>
                <w:color w:val="auto"/>
                <w:sz w:val="24"/>
                <w:szCs w:val="24"/>
                <w:lang w:val="en-US" w:eastAsia="zh-CN"/>
              </w:rPr>
              <w:t>0.49</w:t>
            </w:r>
            <w:r>
              <w:rPr>
                <w:rFonts w:hint="default" w:ascii="Times New Roman" w:hAnsi="Times New Roman" w:eastAsia="宋体" w:cs="Times New Roman"/>
                <w:color w:val="auto"/>
                <w:sz w:val="24"/>
                <w:szCs w:val="24"/>
              </w:rPr>
              <w:t>%。环保投资额能达到治理污染物的要求，具体环保治理措施及投资清单详见表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rPr>
              <w:t>。</w:t>
            </w:r>
          </w:p>
          <w:p>
            <w:pPr>
              <w:pStyle w:val="100"/>
              <w:keepNext w:val="0"/>
              <w:keepLines w:val="0"/>
              <w:pageBreakBefore w:val="0"/>
              <w:widowControl w:val="0"/>
              <w:numPr>
                <w:ilvl w:val="5"/>
                <w:numId w:val="0"/>
              </w:numPr>
              <w:suppressLineNumbers w:val="0"/>
              <w:kinsoku/>
              <w:wordWrap/>
              <w:overflowPunct/>
              <w:topLinePunct w:val="0"/>
              <w:autoSpaceDE/>
              <w:autoSpaceDN/>
              <w:bidi w:val="0"/>
              <w:adjustRightInd/>
              <w:snapToGrid/>
              <w:spacing w:before="0" w:beforeLines="0" w:beforeAutospacing="0" w:after="0" w:afterAutospacing="0" w:line="240" w:lineRule="auto"/>
              <w:ind w:left="0" w:leftChars="0" w:right="0" w:rightChars="0"/>
              <w:textAlignment w:val="auto"/>
              <w:rPr>
                <w:rFonts w:hint="default" w:ascii="Times New Roman" w:hAnsi="Times New Roman" w:eastAsia="宋体" w:cs="Times New Roman"/>
                <w:color w:val="auto"/>
              </w:rPr>
            </w:pPr>
            <w:r>
              <w:rPr>
                <w:rFonts w:hint="default" w:ascii="Times New Roman" w:hAnsi="Times New Roman" w:eastAsia="宋体" w:cs="Times New Roman"/>
                <w:b/>
                <w:bCs/>
                <w:color w:val="auto"/>
                <w:sz w:val="21"/>
                <w:szCs w:val="21"/>
                <w:lang w:val="en-US" w:eastAsia="zh-CN"/>
              </w:rPr>
              <w:t>表4-</w:t>
            </w:r>
            <w:r>
              <w:rPr>
                <w:rFonts w:hint="eastAsia" w:ascii="Times New Roman" w:hAnsi="Times New Roman" w:eastAsia="宋体" w:cs="Times New Roman"/>
                <w:b/>
                <w:bCs/>
                <w:color w:val="auto"/>
                <w:sz w:val="21"/>
                <w:szCs w:val="21"/>
                <w:lang w:val="en-US" w:eastAsia="zh-CN"/>
              </w:rPr>
              <w:t>25</w:t>
            </w:r>
            <w:r>
              <w:rPr>
                <w:rFonts w:hint="default" w:ascii="Times New Roman" w:hAnsi="Times New Roman" w:eastAsia="宋体"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项目环保投资一览表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2"/>
              <w:gridCol w:w="1624"/>
              <w:gridCol w:w="1676"/>
              <w:gridCol w:w="2404"/>
              <w:gridCol w:w="18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序号</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项  目</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环保建设规模</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投资额（万元）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废气处理设施</w:t>
                  </w:r>
                </w:p>
              </w:tc>
              <w:tc>
                <w:tcPr>
                  <w:tcW w:w="1008"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酒精擦拭、胶合、点胶废气</w:t>
                  </w:r>
                </w:p>
              </w:tc>
              <w:tc>
                <w:tcPr>
                  <w:tcW w:w="1446"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集气罩+二级活性炭+15m高排气筒</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r>
                    <w:rPr>
                      <w:rFonts w:hint="default" w:ascii="Times New Roman" w:hAnsi="Times New Roman" w:eastAsia="宋体" w:cs="Times New Roman"/>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废水治理设施</w:t>
                  </w:r>
                </w:p>
              </w:tc>
              <w:tc>
                <w:tcPr>
                  <w:tcW w:w="1008"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lang w:val="en-US" w:eastAsia="zh-CN"/>
                    </w:rPr>
                    <w:t>综合废水</w:t>
                  </w:r>
                </w:p>
              </w:tc>
              <w:tc>
                <w:tcPr>
                  <w:tcW w:w="1446"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kern w:val="2"/>
                      <w:sz w:val="21"/>
                      <w:szCs w:val="20"/>
                      <w:lang w:val="en-US" w:eastAsia="zh-CN" w:bidi="ar-SA"/>
                    </w:rPr>
                  </w:pPr>
                  <w:r>
                    <w:rPr>
                      <w:rFonts w:hint="eastAsia" w:cs="Times New Roman"/>
                      <w:snapToGrid w:val="0"/>
                      <w:kern w:val="24"/>
                      <w:szCs w:val="21"/>
                      <w:lang w:val="zh-CN" w:bidi="ar"/>
                    </w:rPr>
                    <w:t>地埋式污水处理设施</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vMerge w:val="restar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977" w:type="pct"/>
                  <w:vMerge w:val="restar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固体废物处置</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新建</w:t>
                  </w:r>
                  <w:r>
                    <w:rPr>
                      <w:rFonts w:hint="default" w:ascii="Times New Roman" w:hAnsi="Times New Roman" w:eastAsia="宋体" w:cs="Times New Roman"/>
                      <w:color w:val="auto"/>
                      <w:lang w:eastAsia="zh-CN"/>
                    </w:rPr>
                    <w:t>一般固体废物暂存</w:t>
                  </w:r>
                  <w:r>
                    <w:rPr>
                      <w:rFonts w:hint="eastAsia" w:cs="Times New Roman"/>
                      <w:color w:val="auto"/>
                      <w:lang w:val="en-US" w:eastAsia="zh-CN"/>
                    </w:rPr>
                    <w:t>间</w:t>
                  </w:r>
                </w:p>
              </w:tc>
              <w:tc>
                <w:tcPr>
                  <w:tcW w:w="1117" w:type="pct"/>
                  <w:vMerge w:val="restar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97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新建</w:t>
                  </w:r>
                  <w:r>
                    <w:rPr>
                      <w:rFonts w:hint="default" w:ascii="Times New Roman" w:hAnsi="Times New Roman" w:eastAsia="宋体" w:cs="Times New Roman"/>
                      <w:color w:val="auto"/>
                      <w:lang w:eastAsia="zh-CN"/>
                    </w:rPr>
                    <w:t>危险废物暂存</w:t>
                  </w:r>
                  <w:r>
                    <w:rPr>
                      <w:rFonts w:hint="eastAsia" w:cs="Times New Roman"/>
                      <w:color w:val="auto"/>
                      <w:lang w:val="en-US" w:eastAsia="zh-CN"/>
                    </w:rPr>
                    <w:t>间</w:t>
                  </w:r>
                </w:p>
              </w:tc>
              <w:tc>
                <w:tcPr>
                  <w:tcW w:w="111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97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危废处置</w:t>
                  </w:r>
                </w:p>
              </w:tc>
              <w:tc>
                <w:tcPr>
                  <w:tcW w:w="111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97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生活垃圾委托环卫部门清运</w:t>
                  </w:r>
                </w:p>
              </w:tc>
              <w:tc>
                <w:tcPr>
                  <w:tcW w:w="1117" w:type="pct"/>
                  <w:vMerge w:val="continue"/>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97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噪声防治措施</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低噪声设备、隔声减振</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49" w:type="pct"/>
                  <w:tcBorders>
                    <w:right w:val="single" w:color="auto" w:sz="4" w:space="0"/>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5</w:t>
                  </w:r>
                </w:p>
              </w:tc>
              <w:tc>
                <w:tcPr>
                  <w:tcW w:w="978" w:type="pct"/>
                  <w:gridSpan w:val="2"/>
                  <w:tcBorders>
                    <w:left w:val="single" w:color="auto" w:sz="4" w:space="0"/>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地下水</w:t>
                  </w:r>
                </w:p>
              </w:tc>
              <w:tc>
                <w:tcPr>
                  <w:tcW w:w="2454" w:type="pct"/>
                  <w:gridSpan w:val="2"/>
                  <w:tcBorders>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分区防渗</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9" w:type="pct"/>
                  <w:tcBorders>
                    <w:right w:val="single" w:color="auto" w:sz="4" w:space="0"/>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6</w:t>
                  </w:r>
                </w:p>
              </w:tc>
              <w:tc>
                <w:tcPr>
                  <w:tcW w:w="978" w:type="pct"/>
                  <w:gridSpan w:val="2"/>
                  <w:tcBorders>
                    <w:left w:val="single" w:color="auto" w:sz="4" w:space="0"/>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环境风险</w:t>
                  </w:r>
                </w:p>
              </w:tc>
              <w:tc>
                <w:tcPr>
                  <w:tcW w:w="2454" w:type="pct"/>
                  <w:gridSpan w:val="2"/>
                  <w:tcBorders>
                    <w:tl2br w:val="nil"/>
                    <w:tr2bl w:val="nil"/>
                  </w:tcBorders>
                  <w:noWrap w:val="0"/>
                  <w:vAlign w:val="center"/>
                </w:tcPr>
                <w:p>
                  <w:pPr>
                    <w:pStyle w:val="44"/>
                    <w:keepNext w:val="0"/>
                    <w:keepLines w:val="0"/>
                    <w:pageBreakBefore w:val="0"/>
                    <w:widowControl w:val="0"/>
                    <w:suppressLineNumbers w:val="0"/>
                    <w:kinsoku w:val="0"/>
                    <w:wordWrap/>
                    <w:overflowPunct w:val="0"/>
                    <w:topLinePunct w:val="0"/>
                    <w:bidi w:val="0"/>
                    <w:snapToGrid/>
                    <w:spacing w:beforeAutospacing="0" w:afterAutospacing="0" w:line="240" w:lineRule="auto"/>
                    <w:ind w:left="0" w:right="0"/>
                    <w:jc w:val="center"/>
                    <w:textAlignment w:val="auto"/>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kern w:val="2"/>
                      <w:sz w:val="21"/>
                      <w:szCs w:val="20"/>
                      <w:lang w:val="en-US" w:eastAsia="zh-CN" w:bidi="ar-SA"/>
                    </w:rPr>
                    <w:t>人员培训、风险应急预案</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27" w:type="pct"/>
                  <w:gridSpan w:val="3"/>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合   计</w:t>
                  </w:r>
                </w:p>
              </w:tc>
              <w:tc>
                <w:tcPr>
                  <w:tcW w:w="2454" w:type="pct"/>
                  <w:gridSpan w:val="2"/>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1117" w:type="pct"/>
                  <w:tcBorders>
                    <w:tl2br w:val="nil"/>
                    <w:tr2bl w:val="nil"/>
                  </w:tcBorders>
                  <w:noWrap w:val="0"/>
                  <w:vAlign w:val="center"/>
                </w:tcPr>
                <w:p>
                  <w:pPr>
                    <w:pStyle w:val="90"/>
                    <w:keepNext w:val="0"/>
                    <w:keepLines w:val="0"/>
                    <w:pageBreakBefore w:val="0"/>
                    <w:widowControl w:val="0"/>
                    <w:suppressLineNumbers w:val="0"/>
                    <w:wordWrap/>
                    <w:topLinePunct w:val="0"/>
                    <w:bidi w:val="0"/>
                    <w:snapToGrid/>
                    <w:spacing w:beforeAutospacing="0" w:afterAutospacing="0" w:line="240" w:lineRule="auto"/>
                    <w:ind w:left="0" w:right="0"/>
                    <w:textAlignment w:val="auto"/>
                    <w:rPr>
                      <w:rFonts w:hint="default" w:ascii="Times New Roman" w:hAnsi="Times New Roman" w:eastAsia="宋体" w:cs="Times New Roman"/>
                      <w:color w:val="auto"/>
                      <w:lang w:val="en-US" w:eastAsia="zh-CN"/>
                    </w:rPr>
                  </w:pPr>
                  <w:r>
                    <w:rPr>
                      <w:rFonts w:hint="eastAsia" w:cs="Times New Roman"/>
                      <w:color w:val="auto"/>
                      <w:lang w:val="en-US" w:eastAsia="zh-CN"/>
                    </w:rPr>
                    <w:t>60</w:t>
                  </w:r>
                </w:p>
              </w:tc>
            </w:tr>
          </w:tbl>
          <w:p>
            <w:pPr>
              <w:adjustRightInd w:val="0"/>
              <w:snapToGrid w:val="0"/>
              <w:spacing w:line="360" w:lineRule="auto"/>
              <w:ind w:firstLine="480" w:firstLineChars="200"/>
              <w:rPr>
                <w:rFonts w:hint="eastAsia" w:ascii="Times New Roman" w:hAnsi="Times New Roman" w:eastAsia="宋体" w:cs="Times New Roman"/>
                <w:kern w:val="0"/>
                <w:sz w:val="24"/>
                <w:szCs w:val="20"/>
                <w:lang w:val="en-US" w:eastAsia="zh-CN"/>
              </w:rPr>
            </w:pPr>
          </w:p>
        </w:tc>
      </w:tr>
    </w:tbl>
    <w:p>
      <w:pPr>
        <w:pStyle w:val="24"/>
        <w:jc w:val="center"/>
        <w:outlineLvl w:val="9"/>
        <w:rPr>
          <w:rFonts w:hint="eastAsia" w:ascii="黑体" w:hAnsi="黑体" w:eastAsia="黑体"/>
          <w:snapToGrid w:val="0"/>
          <w:sz w:val="30"/>
          <w:szCs w:val="30"/>
        </w:rPr>
      </w:pPr>
    </w:p>
    <w:p>
      <w:pPr>
        <w:pStyle w:val="24"/>
        <w:jc w:val="center"/>
        <w:outlineLvl w:val="9"/>
        <w:rPr>
          <w:rFonts w:hint="eastAsia" w:ascii="黑体" w:hAnsi="黑体" w:eastAsia="黑体"/>
          <w:snapToGrid w:val="0"/>
          <w:sz w:val="30"/>
          <w:szCs w:val="30"/>
        </w:rPr>
      </w:pPr>
    </w:p>
    <w:p>
      <w:pPr>
        <w:pStyle w:val="24"/>
        <w:jc w:val="center"/>
        <w:outlineLvl w:val="9"/>
        <w:rPr>
          <w:rFonts w:hint="eastAsia" w:ascii="黑体" w:hAnsi="黑体" w:eastAsia="黑体"/>
          <w:snapToGrid w:val="0"/>
          <w:sz w:val="30"/>
          <w:szCs w:val="30"/>
        </w:rPr>
      </w:pPr>
    </w:p>
    <w:p>
      <w:pPr>
        <w:pStyle w:val="24"/>
        <w:jc w:val="center"/>
        <w:outlineLvl w:val="0"/>
        <w:rPr>
          <w:rFonts w:ascii="黑体" w:hAnsi="黑体" w:eastAsia="黑体"/>
          <w:snapToGrid w:val="0"/>
          <w:sz w:val="30"/>
          <w:szCs w:val="30"/>
        </w:rPr>
      </w:pPr>
      <w:bookmarkStart w:id="46" w:name="_Toc19739"/>
      <w:bookmarkStart w:id="47" w:name="_Toc13788"/>
      <w:r>
        <w:rPr>
          <w:rFonts w:hint="eastAsia" w:ascii="黑体" w:hAnsi="黑体" w:eastAsia="黑体"/>
          <w:snapToGrid w:val="0"/>
          <w:sz w:val="30"/>
          <w:szCs w:val="30"/>
        </w:rPr>
        <w:t>五、</w:t>
      </w:r>
      <w:bookmarkStart w:id="48" w:name="_Hlk54167917"/>
      <w:r>
        <w:rPr>
          <w:rFonts w:hint="eastAsia" w:ascii="黑体" w:hAnsi="黑体" w:eastAsia="黑体"/>
          <w:snapToGrid w:val="0"/>
          <w:sz w:val="30"/>
          <w:szCs w:val="30"/>
        </w:rPr>
        <w:t>环境保护措施监督检查清单</w:t>
      </w:r>
      <w:bookmarkEnd w:id="46"/>
      <w:bookmarkEnd w:id="47"/>
      <w:bookmarkEnd w:id="48"/>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531"/>
        <w:gridCol w:w="1438"/>
        <w:gridCol w:w="1521"/>
        <w:gridCol w:w="2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86"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rPr>
                <w:rFonts w:hint="default" w:ascii="Times New Roman" w:hAnsi="Times New Roman" w:cs="Times New Roman"/>
                <w:sz w:val="21"/>
                <w:szCs w:val="21"/>
              </w:rPr>
            </w:pPr>
            <w:r>
              <w:rPr>
                <w:rFonts w:hint="default" w:ascii="Times New Roman" w:hAnsi="Times New Roman" w:cs="Times New Roman"/>
                <w:sz w:val="21"/>
                <w:szCs w:val="21"/>
              </w:rPr>
              <w:t>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要素</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排放口(编号、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名称)/污染源</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污染物项目</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环境保护措施</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大气环境</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DA001</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VOC</w:t>
            </w:r>
            <w:r>
              <w:rPr>
                <w:rFonts w:hint="eastAsia"/>
                <w:sz w:val="21"/>
                <w:szCs w:val="21"/>
                <w:vertAlign w:val="subscript"/>
                <w:lang w:val="en-US" w:eastAsia="zh-CN"/>
              </w:rPr>
              <w:t>S</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集气罩</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二级活性炭吸附装置</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15</w:t>
            </w:r>
            <w:r>
              <w:rPr>
                <w:rFonts w:hint="eastAsia" w:cs="Times New Roman"/>
                <w:sz w:val="21"/>
                <w:szCs w:val="21"/>
                <w:lang w:val="en-US" w:eastAsia="zh-CN"/>
              </w:rPr>
              <w:t>m高排气筒</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ascii="Times New Roman" w:hAnsi="Times New Roman"/>
                <w:color w:val="auto"/>
                <w:sz w:val="21"/>
                <w:szCs w:val="21"/>
              </w:rPr>
              <w:t>达</w:t>
            </w:r>
            <w:r>
              <w:rPr>
                <w:rFonts w:hint="eastAsia" w:ascii="Times New Roman" w:hAnsi="Times New Roman"/>
                <w:color w:val="auto"/>
                <w:sz w:val="21"/>
                <w:szCs w:val="21"/>
              </w:rPr>
              <w:t>《工业企业挥发性有机物排放控制标准》（DB12/524-2020）</w:t>
            </w:r>
            <w:r>
              <w:rPr>
                <w:rFonts w:hint="eastAsia"/>
                <w:color w:val="auto"/>
                <w:sz w:val="21"/>
                <w:szCs w:val="21"/>
                <w:lang w:val="en-US" w:eastAsia="zh-CN"/>
              </w:rPr>
              <w:t>限值要求及《挥发性有机物无组织排放控制标准》（GB37822-2019）</w:t>
            </w:r>
            <w:r>
              <w:rPr>
                <w:rFonts w:hint="default" w:ascii="Times New Roman" w:hAnsi="Times New Roman" w:cs="Times New Roman"/>
                <w:color w:val="auto"/>
                <w:sz w:val="21"/>
                <w:szCs w:val="21"/>
              </w:rPr>
              <w:t>限值</w:t>
            </w:r>
            <w:r>
              <w:rPr>
                <w:rFonts w:hint="eastAsia" w:ascii="Times New Roman" w:hAnsi="Times New Roman" w:cs="Times New Roman"/>
                <w:color w:val="auto"/>
                <w:sz w:val="21"/>
                <w:szCs w:val="21"/>
                <w:lang w:val="en-US" w:eastAsia="zh-CN"/>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ascii="Times New Roman" w:hAnsi="Times New Roman"/>
                <w:sz w:val="21"/>
                <w:szCs w:val="21"/>
              </w:rPr>
              <w:t>食堂</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ascii="Times New Roman" w:hAnsi="Times New Roman"/>
                <w:sz w:val="21"/>
                <w:szCs w:val="21"/>
              </w:rPr>
              <w:t>油烟</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rPr>
            </w:pPr>
            <w:r>
              <w:rPr>
                <w:rFonts w:ascii="Times New Roman" w:hAnsi="Times New Roman"/>
                <w:sz w:val="21"/>
                <w:szCs w:val="21"/>
              </w:rPr>
              <w:t>油烟净化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ascii="Times New Roman" w:hAnsi="Times New Roman"/>
                <w:sz w:val="21"/>
                <w:szCs w:val="21"/>
              </w:rPr>
              <w:t>装置</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bCs/>
                <w:sz w:val="21"/>
                <w:szCs w:val="21"/>
                <w:lang w:val="en-US" w:eastAsia="zh-CN"/>
              </w:rPr>
              <w:t>达</w:t>
            </w:r>
            <w:r>
              <w:rPr>
                <w:rFonts w:ascii="Times New Roman" w:hAnsi="Times New Roman"/>
                <w:bCs/>
                <w:sz w:val="21"/>
                <w:szCs w:val="21"/>
              </w:rPr>
              <w:t>《饮食业油烟排放标准（试行）》（GB18483-2001）中小型规模的限制要求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7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地表水环境</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厂区污水总排放口DW001</w:t>
            </w:r>
          </w:p>
        </w:tc>
        <w:tc>
          <w:tcPr>
            <w:tcW w:w="14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ascii="Times New Roman" w:hAnsi="Times New Roman"/>
                <w:sz w:val="21"/>
                <w:szCs w:val="21"/>
              </w:rPr>
              <w:t>COD、BOD</w:t>
            </w:r>
            <w:r>
              <w:rPr>
                <w:rFonts w:ascii="Times New Roman" w:hAnsi="Times New Roman"/>
                <w:sz w:val="21"/>
                <w:szCs w:val="21"/>
                <w:vertAlign w:val="subscript"/>
              </w:rPr>
              <w:t>5</w:t>
            </w:r>
            <w:r>
              <w:rPr>
                <w:rFonts w:ascii="Times New Roman" w:hAnsi="Times New Roman"/>
                <w:sz w:val="21"/>
                <w:szCs w:val="21"/>
              </w:rPr>
              <w:t>、SS、氨氮、动植物油</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地埋式污水处理设施</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sz w:val="21"/>
                <w:szCs w:val="21"/>
                <w:lang w:val="en-US" w:eastAsia="zh-CN"/>
              </w:rPr>
            </w:pPr>
            <w:r>
              <w:rPr>
                <w:rFonts w:hint="eastAsia" w:cs="Times New Roman"/>
                <w:sz w:val="21"/>
                <w:szCs w:val="21"/>
                <w:lang w:val="en-US" w:eastAsia="zh-CN"/>
              </w:rPr>
              <w:t>达</w:t>
            </w:r>
            <w:r>
              <w:rPr>
                <w:rFonts w:hint="eastAsia" w:ascii="Times New Roman" w:hAnsi="Times New Roman" w:eastAsia="宋体" w:cs="Times New Roman"/>
                <w:sz w:val="21"/>
                <w:szCs w:val="21"/>
                <w:lang w:eastAsia="zh-CN"/>
              </w:rPr>
              <w:t>上饶经济技术开发区污水处理厂</w:t>
            </w:r>
            <w:r>
              <w:rPr>
                <w:rFonts w:hint="eastAsia" w:cs="Times New Roman"/>
                <w:sz w:val="21"/>
                <w:szCs w:val="21"/>
                <w:lang w:val="en-US" w:eastAsia="zh-CN"/>
              </w:rPr>
              <w:t>接管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 w:val="21"/>
                <w:szCs w:val="21"/>
                <w:lang w:val="en-US" w:eastAsia="zh-CN"/>
              </w:rPr>
            </w:pPr>
            <w:r>
              <w:rPr>
                <w:rFonts w:hint="eastAsia"/>
                <w:sz w:val="21"/>
                <w:szCs w:val="21"/>
                <w:lang w:val="en-US" w:eastAsia="zh-CN"/>
              </w:rPr>
              <w:t>纯水机尾水</w:t>
            </w:r>
          </w:p>
        </w:tc>
        <w:tc>
          <w:tcPr>
            <w:tcW w:w="52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作为清净下水排放，经园区污水管网外排至市政污水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rPr>
            </w:pPr>
            <w:r>
              <w:rPr>
                <w:rFonts w:hint="eastAsia"/>
                <w:sz w:val="21"/>
                <w:szCs w:val="21"/>
                <w:lang w:val="en-US" w:eastAsia="zh-CN"/>
              </w:rPr>
              <w:t>管网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声环境</w:t>
            </w:r>
          </w:p>
        </w:tc>
        <w:tc>
          <w:tcPr>
            <w:tcW w:w="1531"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生产设备</w:t>
            </w:r>
          </w:p>
        </w:tc>
        <w:tc>
          <w:tcPr>
            <w:tcW w:w="1438"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连续等效A声级</w:t>
            </w:r>
          </w:p>
        </w:tc>
        <w:tc>
          <w:tcPr>
            <w:tcW w:w="1521"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隔声、降噪、减振、加强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管理</w:t>
            </w:r>
          </w:p>
        </w:tc>
        <w:tc>
          <w:tcPr>
            <w:tcW w:w="2258"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1"/>
                <w:szCs w:val="21"/>
              </w:rPr>
            </w:pPr>
            <w:r>
              <w:rPr>
                <w:rFonts w:hint="eastAsia" w:cs="宋体"/>
                <w:sz w:val="21"/>
                <w:szCs w:val="21"/>
              </w:rPr>
              <w:t>达《工业企业厂界环境噪声排放标准》（GB12348-2008）</w:t>
            </w:r>
            <w:r>
              <w:rPr>
                <w:rFonts w:hint="eastAsia" w:cs="宋体"/>
                <w:sz w:val="21"/>
                <w:szCs w:val="21"/>
                <w:lang w:val="en-US" w:eastAsia="zh-CN"/>
              </w:rPr>
              <w:t>3</w:t>
            </w:r>
            <w:r>
              <w:rPr>
                <w:rFonts w:hint="eastAsia" w:cs="宋体"/>
                <w:sz w:val="21"/>
                <w:szCs w:val="21"/>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电磁辐射</w:t>
            </w:r>
          </w:p>
        </w:tc>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14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77"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固体废物</w:t>
            </w:r>
          </w:p>
        </w:tc>
        <w:tc>
          <w:tcPr>
            <w:tcW w:w="6748" w:type="dxa"/>
            <w:gridSpan w:val="4"/>
            <w:noWrap w:val="0"/>
            <w:vAlign w:val="center"/>
          </w:tcPr>
          <w:p>
            <w:pPr>
              <w:bidi w:val="0"/>
              <w:spacing w:line="360" w:lineRule="auto"/>
              <w:ind w:firstLine="420" w:firstLineChars="200"/>
              <w:rPr>
                <w:rFonts w:hint="eastAsia" w:ascii="Times New Roman" w:hAnsi="Times New Roman" w:eastAsia="宋体" w:cs="Times New Roman"/>
                <w:sz w:val="21"/>
                <w:szCs w:val="21"/>
                <w:lang w:eastAsia="zh-CN"/>
              </w:rPr>
            </w:pPr>
            <w:r>
              <w:rPr>
                <w:rFonts w:hint="eastAsia" w:cs="Times New Roman"/>
                <w:color w:val="000000" w:themeColor="text1"/>
                <w:sz w:val="21"/>
                <w:szCs w:val="21"/>
                <w:highlight w:val="none"/>
                <w:lang w:val="en-US" w:eastAsia="zh-CN"/>
                <w14:textFill>
                  <w14:solidFill>
                    <w14:schemeClr w14:val="tx1"/>
                  </w14:solidFill>
                </w14:textFill>
              </w:rPr>
              <w:t>本项目产生的生活垃圾由环卫部门定期清运；</w:t>
            </w:r>
            <w:r>
              <w:rPr>
                <w:rFonts w:hint="eastAsia" w:ascii="Times New Roman" w:hAnsi="Times New Roman" w:cs="Times New Roman"/>
                <w:color w:val="auto"/>
                <w:sz w:val="21"/>
                <w:szCs w:val="21"/>
                <w:lang w:val="en-US" w:eastAsia="zh-CN"/>
              </w:rPr>
              <w:t>废包装</w:t>
            </w:r>
            <w:r>
              <w:rPr>
                <w:rFonts w:hint="eastAsia" w:cs="Times New Roman"/>
                <w:color w:val="auto"/>
                <w:sz w:val="21"/>
                <w:szCs w:val="21"/>
                <w:lang w:val="en-US" w:eastAsia="zh-CN"/>
              </w:rPr>
              <w:t>材料</w:t>
            </w:r>
            <w:r>
              <w:rPr>
                <w:rFonts w:hint="eastAsia" w:ascii="Times New Roman" w:hAnsi="Times New Roman" w:cs="Times New Roman"/>
                <w:color w:val="auto"/>
                <w:sz w:val="21"/>
                <w:szCs w:val="21"/>
                <w:lang w:val="en-US" w:eastAsia="zh-CN"/>
              </w:rPr>
              <w:t>收集后定期交由资源回收单位回收；</w:t>
            </w:r>
            <w:r>
              <w:rPr>
                <w:rFonts w:hint="eastAsia" w:ascii="Times New Roman" w:hAnsi="Times New Roman" w:eastAsia="宋体" w:cs="Times New Roman"/>
                <w:b w:val="0"/>
                <w:bCs w:val="0"/>
                <w:color w:val="auto"/>
                <w:kern w:val="2"/>
                <w:sz w:val="21"/>
                <w:szCs w:val="21"/>
                <w:lang w:val="en-US" w:eastAsia="zh-CN" w:bidi="ar-SA"/>
              </w:rPr>
              <w:t>不合格品收集后定期交由资源回收单位回收</w:t>
            </w:r>
            <w:r>
              <w:rPr>
                <w:rFonts w:hint="eastAsia" w:ascii="Times New Roman" w:hAnsi="Times New Roman" w:cs="Times New Roman"/>
                <w:b w:val="0"/>
                <w:bCs w:val="0"/>
                <w:color w:val="auto"/>
                <w:kern w:val="2"/>
                <w:sz w:val="21"/>
                <w:szCs w:val="21"/>
                <w:lang w:val="en-US" w:eastAsia="zh-CN" w:bidi="ar-SA"/>
              </w:rPr>
              <w:t>；废滤料、废RO膜</w:t>
            </w:r>
            <w:r>
              <w:rPr>
                <w:rFonts w:hint="eastAsia" w:ascii="Times New Roman" w:hAnsi="Times New Roman" w:eastAsia="宋体" w:cs="Times New Roman"/>
                <w:b w:val="0"/>
                <w:bCs w:val="0"/>
                <w:color w:val="auto"/>
                <w:kern w:val="2"/>
                <w:sz w:val="21"/>
                <w:szCs w:val="21"/>
                <w:lang w:val="en-US" w:eastAsia="zh-CN" w:bidi="ar-SA"/>
              </w:rPr>
              <w:t>收集后定期交由资源回收单位回收</w:t>
            </w:r>
            <w:r>
              <w:rPr>
                <w:rFonts w:hint="eastAsia" w:ascii="Times New Roman" w:hAnsi="Times New Roman" w:cs="Times New Roman"/>
                <w:b w:val="0"/>
                <w:bCs w:val="0"/>
                <w:color w:val="auto"/>
                <w:kern w:val="2"/>
                <w:sz w:val="21"/>
                <w:szCs w:val="21"/>
                <w:lang w:val="en-US" w:eastAsia="zh-CN" w:bidi="ar-SA"/>
              </w:rPr>
              <w:t>；通风系统废滤材交由厂家回收；废玻璃</w:t>
            </w:r>
            <w:r>
              <w:rPr>
                <w:rFonts w:hint="eastAsia" w:ascii="Times New Roman" w:hAnsi="Times New Roman" w:eastAsia="宋体" w:cs="Times New Roman"/>
                <w:b w:val="0"/>
                <w:bCs w:val="0"/>
                <w:color w:val="auto"/>
                <w:kern w:val="2"/>
                <w:sz w:val="21"/>
                <w:szCs w:val="21"/>
                <w:lang w:val="en-US" w:eastAsia="zh-CN" w:bidi="ar-SA"/>
              </w:rPr>
              <w:t>交由资源回收单位回收；</w:t>
            </w:r>
            <w:r>
              <w:rPr>
                <w:rFonts w:hint="eastAsia" w:cs="Times New Roman"/>
                <w:color w:val="000000" w:themeColor="text1"/>
                <w:sz w:val="21"/>
                <w:szCs w:val="21"/>
                <w:highlight w:val="none"/>
                <w:lang w:val="en-US" w:eastAsia="zh-CN"/>
                <w14:textFill>
                  <w14:solidFill>
                    <w14:schemeClr w14:val="tx1"/>
                  </w14:solidFill>
                </w14:textFill>
              </w:rPr>
              <w:t>化学品废包装、废无尘布、废手套、废UV灯管、废机油、废电路板、废活性炭</w:t>
            </w:r>
            <w:r>
              <w:rPr>
                <w:rFonts w:hint="default" w:ascii="Times New Roman" w:hAnsi="Times New Roman" w:cs="Times New Roman"/>
                <w:color w:val="auto"/>
                <w:sz w:val="21"/>
                <w:szCs w:val="21"/>
              </w:rPr>
              <w:t>收集后暂存于危废间，委托有危险废物处理资质的单位处理</w:t>
            </w:r>
            <w:r>
              <w:rPr>
                <w:rFonts w:hint="eastAsia"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土壤及地水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污染防治措施</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项目场地地面全部为水泥硬化地面，</w:t>
            </w:r>
            <w:r>
              <w:rPr>
                <w:rFonts w:hint="eastAsia" w:ascii="Times New Roman" w:hAnsi="Times New Roman" w:eastAsia="宋体" w:cs="Times New Roman"/>
                <w:sz w:val="21"/>
                <w:szCs w:val="21"/>
                <w:lang w:val="en-US" w:eastAsia="zh-CN"/>
              </w:rPr>
              <w:t>危废暂存间、</w:t>
            </w:r>
            <w:r>
              <w:rPr>
                <w:rFonts w:hint="default" w:ascii="Times New Roman" w:hAnsi="Times New Roman" w:eastAsia="宋体" w:cs="Times New Roman"/>
                <w:sz w:val="21"/>
                <w:szCs w:val="21"/>
              </w:rPr>
              <w:t>污水处理设施池体、管道</w:t>
            </w:r>
            <w:r>
              <w:rPr>
                <w:rFonts w:hint="default" w:ascii="Times New Roman" w:hAnsi="Times New Roman" w:cs="Times New Roman"/>
                <w:sz w:val="21"/>
                <w:szCs w:val="21"/>
                <w:lang w:eastAsia="zh-CN"/>
              </w:rPr>
              <w:t>等</w:t>
            </w:r>
            <w:r>
              <w:rPr>
                <w:rFonts w:hint="default" w:ascii="Times New Roman" w:hAnsi="Times New Roman" w:cs="Times New Roman"/>
                <w:sz w:val="21"/>
                <w:szCs w:val="21"/>
              </w:rPr>
              <w:t>采取了防腐、防渗措施，不会造成因渗漏而引起地下水</w:t>
            </w:r>
            <w:r>
              <w:rPr>
                <w:rFonts w:hint="default" w:ascii="Times New Roman" w:hAnsi="Times New Roman" w:cs="Times New Roman"/>
                <w:sz w:val="21"/>
                <w:szCs w:val="21"/>
                <w:lang w:eastAsia="zh-CN"/>
              </w:rPr>
              <w:t>和土壤</w:t>
            </w:r>
            <w:r>
              <w:rPr>
                <w:rFonts w:hint="default" w:ascii="Times New Roman" w:hAnsi="Times New Roman" w:cs="Times New Roman"/>
                <w:sz w:val="21"/>
                <w:szCs w:val="21"/>
              </w:rPr>
              <w:t>污染的问题</w:t>
            </w:r>
            <w:r>
              <w:rPr>
                <w:rFonts w:hint="eastAsia" w:ascii="Times New Roman" w:hAnsi="Times New Roman" w:cs="Times New Roman"/>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生态保护措施</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环境风险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防范措施</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加强废水、废气设施管理，编制应急预案，开展应急演练，降低环境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风险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其他环境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pacing w:val="-8"/>
                <w:sz w:val="21"/>
                <w:szCs w:val="21"/>
              </w:rPr>
            </w:pPr>
            <w:r>
              <w:rPr>
                <w:rFonts w:hint="default" w:ascii="Times New Roman" w:hAnsi="Times New Roman" w:cs="Times New Roman"/>
                <w:spacing w:val="-8"/>
                <w:sz w:val="21"/>
                <w:szCs w:val="21"/>
              </w:rPr>
              <w:t>管理要求</w:t>
            </w:r>
          </w:p>
        </w:tc>
        <w:tc>
          <w:tcPr>
            <w:tcW w:w="674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无</w:t>
            </w:r>
          </w:p>
        </w:tc>
      </w:tr>
    </w:tbl>
    <w:p>
      <w:pPr>
        <w:pStyle w:val="24"/>
        <w:jc w:val="center"/>
        <w:outlineLvl w:val="0"/>
        <w:rPr>
          <w:rFonts w:ascii="黑体" w:hAnsi="黑体" w:eastAsia="黑体"/>
          <w:snapToGrid w:val="0"/>
          <w:sz w:val="30"/>
          <w:szCs w:val="30"/>
        </w:rPr>
      </w:pPr>
      <w:r>
        <w:rPr>
          <w:snapToGrid w:val="0"/>
          <w:sz w:val="24"/>
          <w:szCs w:val="24"/>
        </w:rPr>
        <w:br w:type="page"/>
      </w:r>
      <w:bookmarkStart w:id="49" w:name="_Toc15408"/>
      <w:bookmarkStart w:id="50" w:name="_Toc10748"/>
      <w:r>
        <w:rPr>
          <w:rFonts w:hint="eastAsia" w:ascii="黑体" w:hAnsi="黑体" w:eastAsia="黑体"/>
          <w:snapToGrid w:val="0"/>
          <w:sz w:val="30"/>
          <w:szCs w:val="30"/>
        </w:rPr>
        <w:t>六、结论</w:t>
      </w:r>
      <w:bookmarkEnd w:id="49"/>
      <w:bookmarkEnd w:id="50"/>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55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r>
              <w:rPr>
                <w:rFonts w:hint="eastAsia" w:ascii="Times New Roman" w:hAnsi="Times New Roman"/>
                <w:sz w:val="24"/>
              </w:rPr>
              <w:t>综上所述，该项目符合国家产业政策，选址可行。只要保证在营运期间加强设备检修及维护，确保各环保处理设施稳定运行，可做到对周边环境影响较小。同时，建设单位应按照环境保护的原则，认真执行“三同时”政策，落实各项污染防治措施，并切实保证污染治理设施正常稳定的运行，在此基础上，本项目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sz w:val="24"/>
              </w:rPr>
            </w:pPr>
            <w:r>
              <w:rPr>
                <w:rFonts w:hint="eastAsia" w:ascii="Times New Roman" w:hAnsi="Times New Roman"/>
                <w:sz w:val="24"/>
              </w:rPr>
              <w:t>环境影响可得到有效控制。从环境保护的角度来看，本项目建设是可行的。</w:t>
            </w:r>
          </w:p>
          <w:p>
            <w:pPr>
              <w:spacing w:line="360" w:lineRule="auto"/>
              <w:ind w:firstLine="480" w:firstLineChars="200"/>
              <w:jc w:val="center"/>
              <w:rPr>
                <w:rFonts w:ascii="宋体" w:cs="宋体"/>
                <w:sz w:val="24"/>
              </w:rPr>
            </w:pPr>
          </w:p>
        </w:tc>
      </w:tr>
    </w:tbl>
    <w:p>
      <w:pPr>
        <w:rPr>
          <w:rFonts w:ascii="宋体"/>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4"/>
        <w:adjustRightInd w:val="0"/>
        <w:snapToGrid w:val="0"/>
        <w:spacing w:before="0" w:beforeAutospacing="0" w:after="0" w:afterAutospacing="0" w:line="648" w:lineRule="auto"/>
        <w:outlineLvl w:val="0"/>
        <w:rPr>
          <w:rFonts w:ascii="黑体" w:hAnsi="黑体" w:eastAsia="黑体"/>
          <w:snapToGrid w:val="0"/>
          <w:sz w:val="32"/>
          <w:szCs w:val="32"/>
        </w:rPr>
      </w:pPr>
      <w:bookmarkStart w:id="51" w:name="_Toc12628"/>
      <w:bookmarkStart w:id="52" w:name="_Toc16896"/>
      <w:r>
        <w:rPr>
          <w:rFonts w:hint="eastAsia" w:ascii="黑体" w:hAnsi="黑体" w:eastAsia="黑体"/>
          <w:snapToGrid w:val="0"/>
          <w:sz w:val="32"/>
          <w:szCs w:val="32"/>
        </w:rPr>
        <w:t>附表</w:t>
      </w:r>
      <w:bookmarkEnd w:id="51"/>
      <w:bookmarkEnd w:id="52"/>
    </w:p>
    <w:p>
      <w:pPr>
        <w:pStyle w:val="24"/>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9"/>
        <w:rPr>
          <w:rFonts w:hint="eastAsia" w:ascii="方正小标宋_GBK" w:hAnsi="黑体" w:eastAsia="方正小标宋_GBK"/>
          <w:snapToGrid w:val="0"/>
          <w:sz w:val="38"/>
          <w:szCs w:val="38"/>
        </w:rPr>
      </w:pPr>
      <w:bookmarkStart w:id="53" w:name="_Toc12147"/>
      <w:bookmarkStart w:id="54" w:name="_Toc30841"/>
      <w:r>
        <w:rPr>
          <w:rFonts w:hint="eastAsia" w:ascii="方正小标宋_GBK" w:hAnsi="黑体" w:eastAsia="方正小标宋_GBK"/>
          <w:snapToGrid w:val="0"/>
          <w:sz w:val="38"/>
          <w:szCs w:val="38"/>
        </w:rPr>
        <w:t>建设项目污染物排放量汇总表</w:t>
      </w:r>
      <w:bookmarkEnd w:id="53"/>
      <w:bookmarkEnd w:id="54"/>
    </w:p>
    <w:tbl>
      <w:tblPr>
        <w:tblStyle w:val="27"/>
        <w:tblpPr w:leftFromText="181" w:rightFromText="181" w:vertAnchor="text" w:tblpXSpec="left" w:tblpY="1"/>
        <w:tblOverlap w:val="never"/>
        <w:tblW w:w="1330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698"/>
        <w:gridCol w:w="1377"/>
        <w:gridCol w:w="1275"/>
        <w:gridCol w:w="1600"/>
        <w:gridCol w:w="1587"/>
        <w:gridCol w:w="1650"/>
        <w:gridCol w:w="1663"/>
        <w:gridCol w:w="1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1" w:type="dxa"/>
            <w:tcBorders>
              <w:tl2br w:val="single" w:color="auto" w:sz="4" w:space="0"/>
            </w:tcBorders>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right"/>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项目</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分类</w:t>
            </w:r>
          </w:p>
        </w:tc>
        <w:tc>
          <w:tcPr>
            <w:tcW w:w="1698"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污染物名称</w:t>
            </w:r>
          </w:p>
        </w:tc>
        <w:tc>
          <w:tcPr>
            <w:tcW w:w="1377"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现有工程</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1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①</w:t>
            </w:r>
            <w:r>
              <w:rPr>
                <w:rFonts w:hint="default" w:ascii="Times New Roman" w:hAnsi="Times New Roman" w:eastAsia="黑体" w:cs="Times New Roman"/>
                <w:snapToGrid w:val="0"/>
                <w:color w:val="000000"/>
                <w:spacing w:val="-6"/>
                <w:kern w:val="21"/>
                <w:szCs w:val="21"/>
              </w:rPr>
              <w:fldChar w:fldCharType="end"/>
            </w:r>
          </w:p>
        </w:tc>
        <w:tc>
          <w:tcPr>
            <w:tcW w:w="1275"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现有工程</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许可排放量</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2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snapToGrid w:val="0"/>
                <w:color w:val="000000"/>
                <w:spacing w:val="-6"/>
                <w:kern w:val="21"/>
                <w:szCs w:val="21"/>
              </w:rPr>
              <w:t>②</w:t>
            </w:r>
            <w:r>
              <w:rPr>
                <w:rFonts w:hint="default" w:ascii="Times New Roman" w:hAnsi="Times New Roman" w:eastAsia="黑体" w:cs="Times New Roman"/>
                <w:snapToGrid w:val="0"/>
                <w:color w:val="000000"/>
                <w:spacing w:val="-6"/>
                <w:kern w:val="21"/>
                <w:szCs w:val="21"/>
              </w:rPr>
              <w:fldChar w:fldCharType="end"/>
            </w:r>
          </w:p>
        </w:tc>
        <w:tc>
          <w:tcPr>
            <w:tcW w:w="1600"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在建工程</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3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③</w:t>
            </w:r>
            <w:r>
              <w:rPr>
                <w:rFonts w:hint="default" w:ascii="Times New Roman" w:hAnsi="Times New Roman" w:eastAsia="黑体" w:cs="Times New Roman"/>
                <w:snapToGrid w:val="0"/>
                <w:color w:val="000000"/>
                <w:spacing w:val="-6"/>
                <w:kern w:val="21"/>
                <w:szCs w:val="21"/>
              </w:rPr>
              <w:fldChar w:fldCharType="end"/>
            </w:r>
          </w:p>
        </w:tc>
        <w:tc>
          <w:tcPr>
            <w:tcW w:w="1587"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本项目</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排放量（固体废物产生量）</w:t>
            </w: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4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④</w:t>
            </w:r>
            <w:r>
              <w:rPr>
                <w:rFonts w:hint="default" w:ascii="Times New Roman" w:hAnsi="Times New Roman" w:eastAsia="黑体" w:cs="Times New Roman"/>
                <w:snapToGrid w:val="0"/>
                <w:color w:val="000000"/>
                <w:spacing w:val="-6"/>
                <w:kern w:val="21"/>
                <w:szCs w:val="21"/>
              </w:rPr>
              <w:fldChar w:fldCharType="end"/>
            </w:r>
          </w:p>
        </w:tc>
        <w:tc>
          <w:tcPr>
            <w:tcW w:w="1650"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以新带老削减量</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（新建项目不填）</w:t>
            </w:r>
            <w:r>
              <w:rPr>
                <w:rFonts w:hint="default" w:ascii="Times New Roman" w:hAnsi="Times New Roman" w:eastAsia="黑体" w:cs="Times New Roman"/>
                <w:snapToGrid w:val="0"/>
                <w:color w:val="000000"/>
                <w:spacing w:val="-16"/>
                <w:kern w:val="21"/>
                <w:szCs w:val="21"/>
              </w:rPr>
              <w:fldChar w:fldCharType="begin"/>
            </w:r>
            <w:r>
              <w:rPr>
                <w:rFonts w:hint="default" w:ascii="Times New Roman" w:hAnsi="Times New Roman" w:eastAsia="黑体" w:cs="Times New Roman"/>
                <w:snapToGrid w:val="0"/>
                <w:color w:val="000000"/>
                <w:spacing w:val="-16"/>
                <w:kern w:val="21"/>
                <w:szCs w:val="21"/>
              </w:rPr>
              <w:instrText xml:space="preserve"> = 5 \* GB3 \* MERGEFORMAT </w:instrText>
            </w:r>
            <w:r>
              <w:rPr>
                <w:rFonts w:hint="default" w:ascii="Times New Roman" w:hAnsi="Times New Roman" w:eastAsia="黑体" w:cs="Times New Roman"/>
                <w:snapToGrid w:val="0"/>
                <w:color w:val="000000"/>
                <w:spacing w:val="-16"/>
                <w:kern w:val="21"/>
                <w:szCs w:val="21"/>
              </w:rPr>
              <w:fldChar w:fldCharType="separate"/>
            </w:r>
            <w:r>
              <w:rPr>
                <w:rFonts w:hint="default" w:ascii="Times New Roman" w:hAnsi="Times New Roman" w:eastAsia="黑体" w:cs="Times New Roman"/>
                <w:kern w:val="2"/>
                <w:szCs w:val="21"/>
              </w:rPr>
              <w:t>⑤</w:t>
            </w:r>
            <w:r>
              <w:rPr>
                <w:rFonts w:hint="default" w:ascii="Times New Roman" w:hAnsi="Times New Roman" w:eastAsia="黑体" w:cs="Times New Roman"/>
                <w:snapToGrid w:val="0"/>
                <w:color w:val="000000"/>
                <w:spacing w:val="-16"/>
                <w:kern w:val="21"/>
                <w:szCs w:val="21"/>
              </w:rPr>
              <w:fldChar w:fldCharType="end"/>
            </w:r>
          </w:p>
        </w:tc>
        <w:tc>
          <w:tcPr>
            <w:tcW w:w="1663"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本项目建成后</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16"/>
                <w:kern w:val="21"/>
                <w:szCs w:val="21"/>
              </w:rPr>
            </w:pPr>
            <w:r>
              <w:rPr>
                <w:rFonts w:hint="default" w:ascii="Times New Roman" w:hAnsi="Times New Roman" w:eastAsia="黑体" w:cs="Times New Roman"/>
                <w:snapToGrid w:val="0"/>
                <w:color w:val="000000"/>
                <w:spacing w:val="-16"/>
                <w:kern w:val="21"/>
                <w:szCs w:val="21"/>
              </w:rPr>
              <w:t>全厂排放量（固体废物产生量）</w:t>
            </w:r>
            <w:r>
              <w:rPr>
                <w:rFonts w:hint="default" w:ascii="Times New Roman" w:hAnsi="Times New Roman" w:eastAsia="黑体" w:cs="Times New Roman"/>
                <w:snapToGrid w:val="0"/>
                <w:color w:val="000000"/>
                <w:spacing w:val="-16"/>
                <w:kern w:val="21"/>
                <w:szCs w:val="21"/>
              </w:rPr>
              <w:fldChar w:fldCharType="begin"/>
            </w:r>
            <w:r>
              <w:rPr>
                <w:rFonts w:hint="default" w:ascii="Times New Roman" w:hAnsi="Times New Roman" w:eastAsia="黑体" w:cs="Times New Roman"/>
                <w:snapToGrid w:val="0"/>
                <w:color w:val="000000"/>
                <w:spacing w:val="-16"/>
                <w:kern w:val="21"/>
                <w:szCs w:val="21"/>
              </w:rPr>
              <w:instrText xml:space="preserve"> = 6 \* GB3 \* MERGEFORMAT </w:instrText>
            </w:r>
            <w:r>
              <w:rPr>
                <w:rFonts w:hint="default" w:ascii="Times New Roman" w:hAnsi="Times New Roman" w:eastAsia="黑体" w:cs="Times New Roman"/>
                <w:snapToGrid w:val="0"/>
                <w:color w:val="000000"/>
                <w:spacing w:val="-16"/>
                <w:kern w:val="21"/>
                <w:szCs w:val="21"/>
              </w:rPr>
              <w:fldChar w:fldCharType="separate"/>
            </w:r>
            <w:r>
              <w:rPr>
                <w:rFonts w:hint="default" w:ascii="Times New Roman" w:hAnsi="Times New Roman" w:eastAsia="黑体" w:cs="Times New Roman"/>
                <w:kern w:val="2"/>
                <w:szCs w:val="21"/>
              </w:rPr>
              <w:t>⑥</w:t>
            </w:r>
            <w:r>
              <w:rPr>
                <w:rFonts w:hint="default" w:ascii="Times New Roman" w:hAnsi="Times New Roman" w:eastAsia="黑体" w:cs="Times New Roman"/>
                <w:snapToGrid w:val="0"/>
                <w:color w:val="000000"/>
                <w:spacing w:val="-16"/>
                <w:kern w:val="21"/>
                <w:szCs w:val="21"/>
              </w:rPr>
              <w:fldChar w:fldCharType="end"/>
            </w:r>
          </w:p>
        </w:tc>
        <w:tc>
          <w:tcPr>
            <w:tcW w:w="1412" w:type="dxa"/>
            <w:noWrap w:val="0"/>
            <w:tcMar>
              <w:left w:w="28" w:type="dxa"/>
              <w:right w:w="28" w:type="dxa"/>
            </w:tcMar>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t>变化量</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eastAsia="黑体" w:cs="Times New Roman"/>
                <w:snapToGrid w:val="0"/>
                <w:color w:val="000000"/>
                <w:spacing w:val="-6"/>
                <w:kern w:val="21"/>
                <w:szCs w:val="21"/>
              </w:rPr>
            </w:pPr>
            <w:r>
              <w:rPr>
                <w:rFonts w:hint="default" w:ascii="Times New Roman" w:hAnsi="Times New Roman" w:eastAsia="黑体" w:cs="Times New Roman"/>
                <w:snapToGrid w:val="0"/>
                <w:color w:val="000000"/>
                <w:spacing w:val="-6"/>
                <w:kern w:val="21"/>
                <w:szCs w:val="21"/>
              </w:rPr>
              <w:fldChar w:fldCharType="begin"/>
            </w:r>
            <w:r>
              <w:rPr>
                <w:rFonts w:hint="default" w:ascii="Times New Roman" w:hAnsi="Times New Roman" w:eastAsia="黑体" w:cs="Times New Roman"/>
                <w:snapToGrid w:val="0"/>
                <w:color w:val="000000"/>
                <w:spacing w:val="-6"/>
                <w:kern w:val="21"/>
                <w:szCs w:val="21"/>
              </w:rPr>
              <w:instrText xml:space="preserve"> = 7 \* GB3 \* MERGEFORMAT </w:instrText>
            </w:r>
            <w:r>
              <w:rPr>
                <w:rFonts w:hint="default" w:ascii="Times New Roman" w:hAnsi="Times New Roman" w:eastAsia="黑体" w:cs="Times New Roman"/>
                <w:snapToGrid w:val="0"/>
                <w:color w:val="000000"/>
                <w:spacing w:val="-6"/>
                <w:kern w:val="21"/>
                <w:szCs w:val="21"/>
              </w:rPr>
              <w:fldChar w:fldCharType="separate"/>
            </w:r>
            <w:r>
              <w:rPr>
                <w:rFonts w:hint="default" w:ascii="Times New Roman" w:hAnsi="Times New Roman" w:eastAsia="黑体" w:cs="Times New Roman"/>
                <w:kern w:val="2"/>
                <w:szCs w:val="21"/>
              </w:rPr>
              <w:t>⑦</w:t>
            </w:r>
            <w:r>
              <w:rPr>
                <w:rFonts w:hint="default" w:ascii="Times New Roman" w:hAnsi="Times New Roman" w:eastAsia="黑体" w:cs="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废气</w:t>
            </w:r>
          </w:p>
        </w:tc>
        <w:tc>
          <w:tcPr>
            <w:tcW w:w="1698"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VOCs</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0.34</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cs="Times New Roman"/>
                <w:snapToGrid w:val="0"/>
                <w:color w:val="000000"/>
                <w:kern w:val="21"/>
                <w:szCs w:val="21"/>
                <w:lang w:val="en-US" w:eastAsia="zh-CN"/>
              </w:rPr>
              <w:t>0.34t/a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cs="Times New Roman"/>
                <w:snapToGrid w:val="0"/>
                <w:color w:val="000000"/>
                <w:kern w:val="21"/>
                <w:szCs w:val="21"/>
                <w:lang w:val="en-US" w:eastAsia="zh-CN"/>
              </w:rPr>
              <w:t>+0.34t/a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41" w:type="dxa"/>
            <w:vMerge w:val="restart"/>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废水</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COD</w:t>
            </w:r>
            <w:r>
              <w:rPr>
                <w:kern w:val="18"/>
                <w:szCs w:val="21"/>
                <w:vertAlign w:val="subscript"/>
              </w:rPr>
              <w:t>cr</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0.10</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0.10</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+0.10</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BOD</w:t>
            </w:r>
            <w:r>
              <w:rPr>
                <w:kern w:val="18"/>
                <w:szCs w:val="21"/>
                <w:vertAlign w:val="subscript"/>
              </w:rPr>
              <w:t>5</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SS</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w:t>
            </w:r>
            <w:r>
              <w:rPr>
                <w:rFonts w:hint="eastAsia" w:ascii="Times New Roman" w:cs="Times New Roman"/>
                <w:szCs w:val="21"/>
                <w:lang w:val="en-US" w:eastAsia="zh-CN"/>
              </w:rPr>
              <w:t>0.03</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kern w:val="18"/>
                <w:szCs w:val="21"/>
              </w:rPr>
              <w:t>NH</w:t>
            </w:r>
            <w:r>
              <w:rPr>
                <w:kern w:val="18"/>
                <w:szCs w:val="21"/>
                <w:vertAlign w:val="subscript"/>
              </w:rPr>
              <w:t>3</w:t>
            </w:r>
            <w:r>
              <w:rPr>
                <w:kern w:val="18"/>
                <w:szCs w:val="21"/>
              </w:rPr>
              <w:t>-N</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0.01</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Times New Roman"/>
                <w:snapToGrid w:val="0"/>
                <w:color w:val="000000"/>
                <w:kern w:val="21"/>
                <w:szCs w:val="21"/>
                <w:lang w:val="en-US" w:eastAsia="zh-CN"/>
              </w:rPr>
            </w:pPr>
            <w:r>
              <w:rPr>
                <w:rFonts w:hint="eastAsia" w:ascii="Times New Roman" w:cs="Times New Roman"/>
                <w:szCs w:val="21"/>
                <w:lang w:val="en-US" w:eastAsia="zh-CN"/>
              </w:rPr>
              <w:t>0.01</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w:t>
            </w:r>
            <w:r>
              <w:rPr>
                <w:rFonts w:hint="eastAsia" w:ascii="Times New Roman" w:cs="Times New Roman"/>
                <w:szCs w:val="21"/>
                <w:lang w:val="en-US" w:eastAsia="zh-CN"/>
              </w:rPr>
              <w:t>0.01</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kern w:val="18"/>
                <w:szCs w:val="21"/>
                <w:lang w:val="en-US" w:eastAsia="zh-CN"/>
              </w:rPr>
            </w:pPr>
            <w:r>
              <w:rPr>
                <w:rFonts w:hint="eastAsia"/>
                <w:kern w:val="18"/>
                <w:szCs w:val="21"/>
                <w:lang w:val="en-US" w:eastAsia="zh-CN"/>
              </w:rPr>
              <w:t>动植物油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cs="Times New Roman"/>
                <w:snapToGrid w:val="0"/>
                <w:color w:val="000000"/>
                <w:kern w:val="21"/>
                <w:szCs w:val="21"/>
                <w:lang w:val="en-US" w:eastAsia="zh-CN"/>
              </w:rPr>
            </w:pPr>
            <w:r>
              <w:rPr>
                <w:rFonts w:hint="eastAsia" w:ascii="Times New Roman" w:cs="Times New Roman"/>
                <w:szCs w:val="21"/>
                <w:lang w:val="en-US" w:eastAsia="zh-CN"/>
              </w:rPr>
              <w:t>0.005</w:t>
            </w:r>
            <w:r>
              <w:rPr>
                <w:rFonts w:hint="eastAsia" w:ascii="Times New Roman" w:hAns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cs="Times New Roman"/>
                <w:snapToGrid w:val="0"/>
                <w:color w:val="000000"/>
                <w:kern w:val="21"/>
                <w:szCs w:val="21"/>
                <w:lang w:val="en-US" w:eastAsia="zh-CN"/>
              </w:rPr>
            </w:pPr>
            <w:r>
              <w:rPr>
                <w:rFonts w:hint="eastAsia" w:ascii="Times New Roman" w:cs="Times New Roman"/>
                <w:szCs w:val="21"/>
                <w:lang w:val="en-US" w:eastAsia="zh-CN"/>
              </w:rPr>
              <w:t>0.005</w:t>
            </w:r>
            <w:r>
              <w:rPr>
                <w:rFonts w:hint="eastAsia" w:ascii="Times New Roman" w:hAns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cs="Times New Roman"/>
                <w:snapToGrid w:val="0"/>
                <w:color w:val="000000"/>
                <w:kern w:val="21"/>
                <w:szCs w:val="21"/>
                <w:lang w:val="en-US" w:eastAsia="zh-CN"/>
              </w:rPr>
            </w:pPr>
            <w:r>
              <w:rPr>
                <w:rFonts w:hint="eastAsia" w:ascii="Times New Roman" w:cs="Times New Roman"/>
                <w:snapToGrid w:val="0"/>
                <w:color w:val="000000"/>
                <w:kern w:val="21"/>
                <w:szCs w:val="21"/>
                <w:lang w:val="en-US" w:eastAsia="zh-CN"/>
              </w:rPr>
              <w:t>+</w:t>
            </w:r>
            <w:r>
              <w:rPr>
                <w:rFonts w:hint="eastAsia" w:ascii="Times New Roman" w:cs="Times New Roman"/>
                <w:szCs w:val="21"/>
                <w:lang w:val="en-US" w:eastAsia="zh-CN"/>
              </w:rPr>
              <w:t>0.005</w:t>
            </w:r>
            <w:r>
              <w:rPr>
                <w:rFonts w:hint="eastAsia" w:ascii="Times New Roman" w:hAns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restart"/>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一般工业固体废物</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eastAsia" w:ascii="Times New Roman" w:hAnsi="Times New Roman" w:cs="Times New Roman"/>
                <w:color w:val="auto"/>
                <w:sz w:val="21"/>
                <w:szCs w:val="21"/>
                <w:lang w:val="en-US" w:eastAsia="zh-CN"/>
              </w:rPr>
              <w:t>废包装材料</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hAnsi="Times New Roman" w:cs="Times New Roman"/>
                <w:color w:val="auto"/>
                <w:sz w:val="21"/>
                <w:szCs w:val="21"/>
                <w:lang w:val="en-US" w:eastAsia="zh-CN"/>
              </w:rPr>
              <w:t>0.5</w:t>
            </w:r>
            <w:r>
              <w:rPr>
                <w:rFonts w:hint="eastAsia" w:ascii="Times New Roman" w:cs="Times New Roman"/>
                <w:snapToGrid w:val="0"/>
                <w:color w:val="000000"/>
                <w:kern w:val="21"/>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hAnsi="Times New Roman" w:cs="Times New Roman"/>
                <w:color w:val="auto"/>
                <w:sz w:val="21"/>
                <w:szCs w:val="21"/>
                <w:lang w:val="en-US" w:eastAsia="zh-CN"/>
              </w:rPr>
              <w:t>0.5</w:t>
            </w:r>
            <w:r>
              <w:rPr>
                <w:rFonts w:hint="eastAsia" w:asci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0.5</w:t>
            </w:r>
            <w:r>
              <w:rPr>
                <w:rFonts w:hint="eastAsia" w:asci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eastAsia="宋体" w:cs="Times New Roman"/>
                <w:color w:val="auto"/>
                <w:sz w:val="21"/>
                <w:szCs w:val="21"/>
                <w:lang w:val="en-US" w:eastAsia="zh-CN" w:bidi="zh-CN"/>
              </w:rPr>
              <w:t>不合格品</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hAnsi="Times New Roman" w:cs="Times New Roman"/>
                <w:color w:val="auto"/>
                <w:sz w:val="21"/>
                <w:szCs w:val="21"/>
                <w:lang w:val="en-US" w:eastAsia="zh-CN"/>
              </w:rPr>
              <w:t>1</w:t>
            </w:r>
            <w:r>
              <w:rPr>
                <w:rFonts w:hint="eastAsia" w:ascii="Times New Roman" w:cs="Times New Roman"/>
                <w:snapToGrid w:val="0"/>
                <w:color w:val="000000"/>
                <w:kern w:val="21"/>
                <w:szCs w:val="21"/>
                <w:lang w:val="en-US" w:eastAsia="zh-CN"/>
              </w:rPr>
              <w:t>t/a</w:t>
            </w:r>
          </w:p>
        </w:tc>
        <w:tc>
          <w:tcPr>
            <w:tcW w:w="1650"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eastAsia" w:ascii="Times New Roman" w:cs="Times New Roman"/>
                <w:snapToGrid w:val="0"/>
                <w:color w:val="000000"/>
                <w:kern w:val="21"/>
                <w:szCs w:val="21"/>
                <w:lang w:val="en-US" w:eastAsia="zh-CN"/>
              </w:rPr>
              <w:t>0</w:t>
            </w:r>
          </w:p>
        </w:tc>
        <w:tc>
          <w:tcPr>
            <w:tcW w:w="1663"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rPr>
            </w:pPr>
            <w:r>
              <w:rPr>
                <w:rFonts w:hint="eastAsia" w:ascii="Times New Roman" w:hAnsi="Times New Roman" w:cs="Times New Roman"/>
                <w:color w:val="auto"/>
                <w:sz w:val="21"/>
                <w:szCs w:val="21"/>
                <w:lang w:val="en-US" w:eastAsia="zh-CN"/>
              </w:rPr>
              <w:t>1</w:t>
            </w:r>
            <w:r>
              <w:rPr>
                <w:rFonts w:hint="eastAsia" w:ascii="Times New Roman" w:cs="Times New Roman"/>
                <w:snapToGrid w:val="0"/>
                <w:color w:val="000000"/>
                <w:kern w:val="21"/>
                <w:szCs w:val="21"/>
                <w:lang w:val="en-US" w:eastAsia="zh-CN"/>
              </w:rPr>
              <w:t>t/a</w:t>
            </w:r>
          </w:p>
        </w:tc>
        <w:tc>
          <w:tcPr>
            <w:tcW w:w="1412"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cs="Times New Roman"/>
                <w:snapToGrid w:val="0"/>
                <w:color w:val="000000"/>
                <w:kern w:val="21"/>
                <w:szCs w:val="21"/>
                <w:lang w:val="en-US" w:eastAsia="zh-CN"/>
              </w:rPr>
            </w:pPr>
            <w:r>
              <w:rPr>
                <w:rFonts w:hint="eastAsia" w:asci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1</w:t>
            </w:r>
            <w:r>
              <w:rPr>
                <w:rFonts w:hint="eastAsia" w:ascii="Times New Roman" w:cs="Times New Roman"/>
                <w:snapToGrid w:val="0"/>
                <w:color w:val="000000"/>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废滤料、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b w:val="0"/>
                <w:bCs w:val="0"/>
                <w:color w:val="auto"/>
                <w:kern w:val="2"/>
                <w:sz w:val="21"/>
                <w:szCs w:val="21"/>
                <w:lang w:val="en-US" w:eastAsia="zh-CN" w:bidi="ar-SA"/>
              </w:rPr>
              <w:t>废RO膜</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b w:val="0"/>
                <w:bCs w:val="0"/>
                <w:color w:val="auto"/>
                <w:kern w:val="2"/>
                <w:sz w:val="21"/>
                <w:szCs w:val="21"/>
                <w:lang w:val="en-US" w:eastAsia="zh-CN" w:bidi="ar-SA"/>
              </w:rPr>
              <w:t>通风系统废滤</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auto"/>
                <w:sz w:val="21"/>
                <w:szCs w:val="21"/>
                <w:lang w:val="en-US" w:eastAsia="zh-CN" w:bidi="zh-CN"/>
              </w:rPr>
              <w:t>1</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auto"/>
                <w:sz w:val="21"/>
                <w:szCs w:val="21"/>
                <w:lang w:val="en-US" w:eastAsia="zh-CN" w:bidi="zh-CN"/>
              </w:rPr>
              <w:t>1</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color w:val="auto"/>
                <w:sz w:val="21"/>
                <w:szCs w:val="21"/>
                <w:lang w:val="en-US" w:eastAsia="zh-CN" w:bidi="zh-CN"/>
              </w:rPr>
              <w:t>+</w:t>
            </w:r>
            <w:r>
              <w:rPr>
                <w:rFonts w:hint="eastAsia" w:ascii="Times New Roman" w:hAnsi="Times New Roman" w:eastAsia="宋体" w:cs="Times New Roman"/>
                <w:color w:val="auto"/>
                <w:sz w:val="21"/>
                <w:szCs w:val="21"/>
                <w:lang w:val="en-US" w:eastAsia="zh-CN" w:bidi="zh-CN"/>
              </w:rPr>
              <w:t>1</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bidi="zh-CN"/>
              </w:rPr>
            </w:pPr>
            <w:r>
              <w:rPr>
                <w:rFonts w:hint="eastAsia" w:ascii="Times New Roman" w:hAnsi="Times New Roman" w:cs="Times New Roman"/>
                <w:b w:val="0"/>
                <w:bCs w:val="0"/>
                <w:color w:val="auto"/>
                <w:kern w:val="2"/>
                <w:sz w:val="21"/>
                <w:szCs w:val="21"/>
                <w:lang w:val="en-US" w:eastAsia="zh-CN" w:bidi="ar-SA"/>
              </w:rPr>
              <w:t>废玻璃</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1t/a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1t/a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restart"/>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危险</w:t>
            </w:r>
          </w:p>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rPr>
              <w:t>废物</w:t>
            </w: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cs="Times New Roman"/>
                <w:snapToGrid w:val="0"/>
                <w:color w:val="000000"/>
                <w:kern w:val="21"/>
                <w:szCs w:val="21"/>
              </w:rPr>
            </w:pPr>
            <w:r>
              <w:rPr>
                <w:rFonts w:hint="default" w:ascii="Times New Roman" w:hAnsi="Times New Roman" w:eastAsia="宋体" w:cs="Times New Roman"/>
                <w:color w:val="auto"/>
                <w:sz w:val="21"/>
                <w:szCs w:val="21"/>
                <w:lang w:val="en-US" w:eastAsia="zh-CN" w:bidi="zh-CN"/>
              </w:rPr>
              <w:t>化学品废包装</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hAnsi="Times New Roman"/>
                <w:szCs w:val="21"/>
                <w:lang w:val="en-US" w:eastAsia="zh-CN"/>
              </w:rPr>
              <w:t>0.</w:t>
            </w:r>
            <w:r>
              <w:rPr>
                <w:rFonts w:hint="eastAsia"/>
                <w:szCs w:val="21"/>
                <w:lang w:val="en-US" w:eastAsia="zh-CN"/>
              </w:rPr>
              <w:t>5</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rPr>
            </w:pPr>
            <w:r>
              <w:rPr>
                <w:rFonts w:hint="eastAsia" w:ascii="Times New Roman" w:hAnsi="Times New Roman"/>
                <w:szCs w:val="21"/>
                <w:lang w:val="en-US" w:eastAsia="zh-CN"/>
              </w:rPr>
              <w:t>0.</w:t>
            </w:r>
            <w:r>
              <w:rPr>
                <w:rFonts w:hint="eastAsia"/>
                <w:szCs w:val="21"/>
                <w:lang w:val="en-US" w:eastAsia="zh-CN"/>
              </w:rPr>
              <w:t>5</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rPr>
            </w:pPr>
            <w:r>
              <w:rPr>
                <w:rFonts w:hint="eastAsia"/>
                <w:szCs w:val="21"/>
                <w:lang w:val="en-US" w:eastAsia="zh-CN"/>
              </w:rPr>
              <w:t>+</w:t>
            </w:r>
            <w:r>
              <w:rPr>
                <w:rFonts w:hint="eastAsia" w:ascii="Times New Roman" w:hAnsi="Times New Roman"/>
                <w:szCs w:val="21"/>
                <w:lang w:val="en-US" w:eastAsia="zh-CN"/>
              </w:rPr>
              <w:t>0.</w:t>
            </w:r>
            <w:r>
              <w:rPr>
                <w:rFonts w:hint="eastAsia"/>
                <w:szCs w:val="21"/>
                <w:lang w:val="en-US" w:eastAsia="zh-CN"/>
              </w:rPr>
              <w:t>5</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废无尘布、废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default" w:ascii="Times New Roman" w:hAnsi="Times New Roman" w:eastAsia="宋体" w:cs="Times New Roman"/>
                <w:color w:val="auto"/>
                <w:sz w:val="21"/>
                <w:szCs w:val="21"/>
                <w:lang w:val="en-US" w:eastAsia="zh-CN" w:bidi="zh-CN"/>
              </w:rPr>
              <w:t>手套</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eastAsia="宋体" w:cs="Times New Roman"/>
                <w:color w:val="auto"/>
                <w:sz w:val="21"/>
                <w:szCs w:val="21"/>
                <w:lang w:val="en-US" w:eastAsia="zh-CN" w:bidi="zh-CN"/>
              </w:rPr>
              <w:t>0.05</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eastAsia="宋体" w:cs="Times New Roman"/>
                <w:color w:val="auto"/>
                <w:sz w:val="21"/>
                <w:szCs w:val="21"/>
                <w:lang w:val="en-US" w:eastAsia="zh-CN" w:bidi="zh-CN"/>
              </w:rPr>
              <w:t>0.05</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cs="Times New Roman"/>
                <w:color w:val="auto"/>
                <w:sz w:val="21"/>
                <w:szCs w:val="21"/>
                <w:lang w:val="en-US" w:eastAsia="zh-CN" w:bidi="zh-CN"/>
              </w:rPr>
              <w:t>+</w:t>
            </w:r>
            <w:r>
              <w:rPr>
                <w:rFonts w:hint="eastAsia" w:ascii="Times New Roman" w:hAnsi="Times New Roman" w:eastAsia="宋体" w:cs="Times New Roman"/>
                <w:color w:val="auto"/>
                <w:sz w:val="21"/>
                <w:szCs w:val="21"/>
                <w:lang w:val="en-US" w:eastAsia="zh-CN" w:bidi="zh-CN"/>
              </w:rPr>
              <w:t>0.05</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vMerge w:val="continue"/>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废UV灯管</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color w:val="auto"/>
                <w:szCs w:val="21"/>
                <w:lang w:val="en-US" w:eastAsia="zh-CN"/>
              </w:rPr>
              <w:t>0.</w:t>
            </w:r>
            <w:r>
              <w:rPr>
                <w:rFonts w:hint="eastAsia"/>
                <w:color w:val="auto"/>
                <w:szCs w:val="21"/>
                <w:lang w:val="en-US" w:eastAsia="zh-CN"/>
              </w:rPr>
              <w:t>05</w:t>
            </w:r>
            <w:r>
              <w:rPr>
                <w:rFonts w:hint="eastAsia" w:ascii="Times New Roman" w:hAnsi="Times New Roman"/>
                <w:szCs w:val="21"/>
                <w:lang w:val="en-US" w:eastAsia="zh-CN"/>
              </w:rPr>
              <w:t>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ascii="Times New Roman" w:hAnsi="Times New Roman"/>
                <w:color w:val="auto"/>
                <w:szCs w:val="21"/>
                <w:lang w:val="en-US" w:eastAsia="zh-CN"/>
              </w:rPr>
              <w:t>0.</w:t>
            </w:r>
            <w:r>
              <w:rPr>
                <w:rFonts w:hint="eastAsia"/>
                <w:color w:val="auto"/>
                <w:szCs w:val="21"/>
                <w:lang w:val="en-US" w:eastAsia="zh-CN"/>
              </w:rPr>
              <w:t>05</w:t>
            </w:r>
            <w:r>
              <w:rPr>
                <w:rFonts w:hint="eastAsia" w:ascii="Times New Roman" w:hAnsi="Times New Roman"/>
                <w:szCs w:val="21"/>
                <w:lang w:val="en-US" w:eastAsia="zh-CN"/>
              </w:rPr>
              <w:t>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Cs w:val="21"/>
                <w:lang w:val="en-US" w:eastAsia="zh-CN"/>
              </w:rPr>
            </w:pPr>
            <w:r>
              <w:rPr>
                <w:rFonts w:hint="eastAsia"/>
                <w:color w:val="auto"/>
                <w:szCs w:val="21"/>
                <w:lang w:val="en-US" w:eastAsia="zh-CN"/>
              </w:rPr>
              <w:t>+</w:t>
            </w:r>
            <w:r>
              <w:rPr>
                <w:rFonts w:hint="eastAsia" w:ascii="Times New Roman" w:hAnsi="Times New Roman"/>
                <w:color w:val="auto"/>
                <w:szCs w:val="21"/>
                <w:lang w:val="en-US" w:eastAsia="zh-CN"/>
              </w:rPr>
              <w:t>0.</w:t>
            </w:r>
            <w:r>
              <w:rPr>
                <w:rFonts w:hint="eastAsia"/>
                <w:color w:val="auto"/>
                <w:szCs w:val="21"/>
                <w:lang w:val="en-US" w:eastAsia="zh-CN"/>
              </w:rPr>
              <w:t>05</w:t>
            </w:r>
            <w:r>
              <w:rPr>
                <w:rFonts w:hint="eastAsia" w:ascii="Times New Roman" w:hAnsi="Times New Roman"/>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废机油</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0.1t/a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0.1t/a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废电路板</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0.5t/a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41" w:type="dxa"/>
            <w:noWrap w:val="0"/>
            <w:vAlign w:val="center"/>
          </w:tcPr>
          <w:p>
            <w:pPr>
              <w:pStyle w:val="58"/>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Times New Roman" w:hAnsi="Times New Roman" w:cs="Times New Roman"/>
                <w:snapToGrid w:val="0"/>
                <w:color w:val="000000"/>
                <w:kern w:val="21"/>
                <w:szCs w:val="21"/>
              </w:rPr>
            </w:pPr>
          </w:p>
        </w:tc>
        <w:tc>
          <w:tcPr>
            <w:tcW w:w="16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bidi="zh-CN"/>
              </w:rPr>
            </w:pPr>
            <w:r>
              <w:rPr>
                <w:rFonts w:hint="eastAsia" w:cs="Times New Roman"/>
                <w:color w:val="000000" w:themeColor="text1"/>
                <w:sz w:val="21"/>
                <w:szCs w:val="21"/>
                <w:highlight w:val="none"/>
                <w:lang w:val="en-US" w:eastAsia="zh-CN"/>
                <w14:textFill>
                  <w14:solidFill>
                    <w14:schemeClr w14:val="tx1"/>
                  </w14:solidFill>
                </w14:textFill>
              </w:rPr>
              <w:t>废活性炭</w:t>
            </w:r>
          </w:p>
        </w:tc>
        <w:tc>
          <w:tcPr>
            <w:tcW w:w="13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6.8t/a</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napToGrid w:val="0"/>
                <w:color w:val="000000"/>
                <w:kern w:val="21"/>
                <w:sz w:val="21"/>
                <w:szCs w:val="21"/>
                <w:lang w:val="en-US" w:eastAsia="zh-CN" w:bidi="ar-SA"/>
              </w:rPr>
            </w:pPr>
            <w:r>
              <w:rPr>
                <w:rFonts w:hint="default" w:ascii="Times New Roman" w:hAnsi="Times New Roman" w:cs="Times New Roman"/>
                <w:snapToGrid w:val="0"/>
                <w:color w:val="000000"/>
                <w:kern w:val="21"/>
                <w:szCs w:val="21"/>
                <w:lang w:val="en-US" w:eastAsia="zh-CN"/>
              </w:rPr>
              <w:t>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ascii="Times New Roman" w:hAnsi="Times New Roman"/>
                <w:szCs w:val="21"/>
                <w:lang w:val="en-US" w:eastAsia="zh-CN"/>
              </w:rPr>
              <w:t>6.8t/a</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napToGrid w:val="0"/>
                <w:color w:val="000000"/>
                <w:kern w:val="21"/>
                <w:sz w:val="21"/>
                <w:szCs w:val="21"/>
                <w:lang w:val="en-US" w:eastAsia="zh-CN" w:bidi="ar-SA"/>
              </w:rPr>
            </w:pPr>
            <w:r>
              <w:rPr>
                <w:rFonts w:hint="eastAsia"/>
                <w:szCs w:val="21"/>
                <w:lang w:val="en-US" w:eastAsia="zh-CN"/>
              </w:rPr>
              <w:t>+</w:t>
            </w:r>
            <w:r>
              <w:rPr>
                <w:rFonts w:hint="eastAsia" w:ascii="Times New Roman" w:hAnsi="Times New Roman"/>
                <w:szCs w:val="21"/>
                <w:lang w:val="en-US" w:eastAsia="zh-CN"/>
              </w:rPr>
              <w:t>6.8t/a</w:t>
            </w:r>
          </w:p>
        </w:tc>
      </w:tr>
    </w:tbl>
    <w:p>
      <w:pPr>
        <w:pStyle w:val="58"/>
        <w:spacing w:before="192" w:beforeLines="80" w:after="24"/>
        <w:jc w:val="left"/>
        <w:sectPr>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decimal"/>
          <w:cols w:space="720" w:num="1"/>
          <w:docGrid w:linePitch="312" w:charSpace="0"/>
        </w:sect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lang w:val="en-US" w:eastAsia="zh-CN"/>
        </w:rPr>
      </w:pPr>
    </w:p>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entury Gothic">
    <w:altName w:val="NumberOnly"/>
    <w:panose1 w:val="020B0502020202020204"/>
    <w:charset w:val="00"/>
    <w:family w:val="swiss"/>
    <w:pitch w:val="default"/>
    <w:sig w:usb0="00000000"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fldChar w:fldCharType="begin"/>
    </w:r>
    <w:r>
      <w:rPr>
        <w:rStyle w:val="30"/>
      </w:rPr>
      <w:instrText xml:space="preserve">PAGE  </w:instrText>
    </w:r>
    <w: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6</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hVdBHdAQAAvgMAAA4AAAAAAAAA&#10;AQAgAAAAHgEAAGRycy9lMm9Eb2MueG1sUEsFBgAAAAAGAAYAWQEAAG0FAAAAAA==&#10;">
              <v:fill on="f" focussize="0,0"/>
              <v:stroke on="f"/>
              <v:imagedata o:title=""/>
              <o:lock v:ext="edit" aspectratio="f"/>
              <v:textbox inset="0mm,0mm,0mm,0mm" style="mso-fit-shape-to-text:t;">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6</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11</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UYN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yaMycsDfz8/dv5x6/zz6/s&#10;Z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eIRRg3gEAAL4DAAAOAAAAAAAA&#10;AAEAIAAAAB4BAABkcnMvZTJvRG9jLnhtbFBLBQYAAAAABgAGAFkBAABuBQAAAAA=&#10;">
              <v:fill on="f" focussize="0,0"/>
              <v:stroke on="f"/>
              <v:imagedata o:title=""/>
              <o:lock v:ext="edit" aspectratio="f"/>
              <v:textbox inset="0mm,0mm,0mm,0mm" style="mso-fit-shape-to-text:t;">
                <w:txbxContent>
                  <w:p>
                    <w:pPr>
                      <w:pStyle w:val="20"/>
                      <w:rPr>
                        <w:rStyle w:val="30"/>
                        <w:rFonts w:ascii="宋体" w:hAnsi="宋体"/>
                        <w:sz w:val="28"/>
                        <w:szCs w:val="28"/>
                      </w:rPr>
                    </w:pPr>
                    <w:r>
                      <w:rPr>
                        <w:rStyle w:val="30"/>
                        <w:rFonts w:hint="eastAsia" w:ascii="宋体" w:hAnsi="宋体"/>
                        <w:sz w:val="28"/>
                        <w:szCs w:val="28"/>
                      </w:rPr>
                      <w:t>—</w:t>
                    </w:r>
                    <w:r>
                      <w:rPr>
                        <w:rStyle w:val="30"/>
                        <w:rFonts w:hint="eastAsia" w:ascii="宋体" w:hAnsi="宋体"/>
                        <w:sz w:val="20"/>
                      </w:rPr>
                      <w:t xml:space="preserve">  </w:t>
                    </w:r>
                    <w:r>
                      <w:rPr>
                        <w:rFonts w:ascii="宋体" w:hAnsi="宋体"/>
                        <w:sz w:val="26"/>
                        <w:szCs w:val="26"/>
                      </w:rPr>
                      <w:fldChar w:fldCharType="begin"/>
                    </w:r>
                    <w:r>
                      <w:rPr>
                        <w:rStyle w:val="30"/>
                        <w:rFonts w:ascii="宋体" w:hAnsi="宋体"/>
                        <w:sz w:val="26"/>
                        <w:szCs w:val="26"/>
                      </w:rPr>
                      <w:instrText xml:space="preserve">PAGE  </w:instrText>
                    </w:r>
                    <w:r>
                      <w:rPr>
                        <w:rFonts w:ascii="宋体" w:hAnsi="宋体"/>
                        <w:sz w:val="26"/>
                        <w:szCs w:val="26"/>
                      </w:rPr>
                      <w:fldChar w:fldCharType="separate"/>
                    </w:r>
                    <w:r>
                      <w:rPr>
                        <w:rStyle w:val="30"/>
                        <w:rFonts w:ascii="宋体" w:hAnsi="宋体"/>
                        <w:sz w:val="26"/>
                        <w:szCs w:val="26"/>
                      </w:rPr>
                      <w:t>11</w:t>
                    </w:r>
                    <w:r>
                      <w:rPr>
                        <w:rFonts w:ascii="宋体" w:hAnsi="宋体"/>
                        <w:sz w:val="26"/>
                        <w:szCs w:val="26"/>
                      </w:rPr>
                      <w:fldChar w:fldCharType="end"/>
                    </w:r>
                    <w:r>
                      <w:rPr>
                        <w:rStyle w:val="30"/>
                        <w:rFonts w:hint="eastAsia" w:ascii="宋体" w:hAnsi="宋体"/>
                        <w:sz w:val="20"/>
                      </w:rPr>
                      <w:t xml:space="preserve">  </w:t>
                    </w:r>
                    <w:r>
                      <w:rPr>
                        <w:rStyle w:val="30"/>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44BF0"/>
    <w:multiLevelType w:val="multilevel"/>
    <w:tmpl w:val="9BF44BF0"/>
    <w:lvl w:ilvl="0" w:tentative="0">
      <w:start w:val="1"/>
      <w:numFmt w:val="decimal"/>
      <w:suff w:val="nothing"/>
      <w:lvlText w:val="%1、"/>
      <w:lvlJc w:val="left"/>
      <w:pPr>
        <w:ind w:left="-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489F1A6"/>
    <w:multiLevelType w:val="singleLevel"/>
    <w:tmpl w:val="3489F1A6"/>
    <w:lvl w:ilvl="0" w:tentative="0">
      <w:start w:val="1"/>
      <w:numFmt w:val="bullet"/>
      <w:pStyle w:val="14"/>
      <w:lvlText w:val=""/>
      <w:lvlJc w:val="left"/>
      <w:pPr>
        <w:tabs>
          <w:tab w:val="left" w:pos="780"/>
        </w:tabs>
        <w:ind w:left="780" w:hanging="360"/>
      </w:pPr>
      <w:rPr>
        <w:rFonts w:hint="default" w:ascii="Wingdings" w:hAnsi="Wingdings"/>
      </w:rPr>
    </w:lvl>
  </w:abstractNum>
  <w:abstractNum w:abstractNumId="2">
    <w:nsid w:val="43EF6BAE"/>
    <w:multiLevelType w:val="singleLevel"/>
    <w:tmpl w:val="43EF6BAE"/>
    <w:lvl w:ilvl="0" w:tentative="0">
      <w:start w:val="1"/>
      <w:numFmt w:val="decimal"/>
      <w:suff w:val="nothing"/>
      <w:lvlText w:val="%1、"/>
      <w:lvlJc w:val="left"/>
    </w:lvl>
  </w:abstractNum>
  <w:abstractNum w:abstractNumId="3">
    <w:nsid w:val="590C3712"/>
    <w:multiLevelType w:val="multilevel"/>
    <w:tmpl w:val="590C3712"/>
    <w:lvl w:ilvl="0" w:tentative="0">
      <w:start w:val="0"/>
      <w:numFmt w:val="none"/>
      <w:pStyle w:val="52"/>
      <w:lvlText w:val=""/>
      <w:lvlJc w:val="left"/>
      <w:pPr>
        <w:tabs>
          <w:tab w:val="left" w:pos="360"/>
        </w:tabs>
      </w:pPr>
    </w:lvl>
    <w:lvl w:ilvl="1" w:tentative="0">
      <w:start w:val="1"/>
      <w:numFmt w:val="lowerLetter"/>
      <w:lvlText w:val="%2)"/>
      <w:lvlJc w:val="left"/>
      <w:pPr>
        <w:ind w:left="840" w:hanging="420"/>
      </w:pPr>
      <w:rPr>
        <w:rFonts w:hint="default" w:ascii="宋体" w:hAnsi="宋体" w:eastAsia="宋体" w:cs="宋体"/>
      </w:rPr>
    </w:lvl>
    <w:lvl w:ilvl="2" w:tentative="0">
      <w:start w:val="1"/>
      <w:numFmt w:val="decimal"/>
      <w:lvlText w:val="%3."/>
      <w:lvlJc w:val="right"/>
      <w:pPr>
        <w:ind w:left="1260" w:hanging="420"/>
      </w:pPr>
      <w:rPr>
        <w:rFonts w:hint="default" w:ascii="宋体" w:hAnsi="宋体" w:eastAsia="宋体" w:cs="宋体"/>
      </w:rPr>
    </w:lvl>
    <w:lvl w:ilvl="3" w:tentative="0">
      <w:start w:val="1"/>
      <w:numFmt w:val="decimal"/>
      <w:lvlText w:val="%4."/>
      <w:lvlJc w:val="left"/>
      <w:pPr>
        <w:ind w:left="1680" w:hanging="420"/>
      </w:pPr>
      <w:rPr>
        <w:rFonts w:hint="default" w:ascii="宋体" w:hAnsi="宋体" w:eastAsia="宋体" w:cs="宋体"/>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644D3847"/>
    <w:multiLevelType w:val="multilevel"/>
    <w:tmpl w:val="644D3847"/>
    <w:lvl w:ilvl="0" w:tentative="0">
      <w:start w:val="1"/>
      <w:numFmt w:val="none"/>
      <w:suff w:val="nothing"/>
      <w:lvlText w:val="%1"/>
      <w:lvlJc w:val="left"/>
      <w:pPr>
        <w:ind w:left="0" w:firstLine="0"/>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decimal"/>
      <w:pStyle w:val="96"/>
      <w:suff w:val="nothing"/>
      <w:lvlText w:val="%3、"/>
      <w:lvlJc w:val="left"/>
      <w:pPr>
        <w:ind w:left="0" w:firstLine="0"/>
      </w:pPr>
      <w:rPr>
        <w:rFonts w:hint="eastAsia"/>
        <w:b w:val="0"/>
      </w:rPr>
    </w:lvl>
    <w:lvl w:ilvl="3" w:tentative="0">
      <w:start w:val="1"/>
      <w:numFmt w:val="decimal"/>
      <w:pStyle w:val="97"/>
      <w:suff w:val="space"/>
      <w:lvlText w:val="%3.%4"/>
      <w:lvlJc w:val="left"/>
      <w:pPr>
        <w:ind w:left="0" w:firstLine="0"/>
      </w:pPr>
      <w:rPr>
        <w:rFonts w:hint="eastAsia"/>
      </w:rPr>
    </w:lvl>
    <w:lvl w:ilvl="4" w:tentative="0">
      <w:start w:val="1"/>
      <w:numFmt w:val="decimal"/>
      <w:pStyle w:val="98"/>
      <w:suff w:val="space"/>
      <w:lvlText w:val="%3.%4.%5"/>
      <w:lvlJc w:val="left"/>
      <w:pPr>
        <w:ind w:left="0" w:firstLine="0"/>
      </w:pPr>
      <w:rPr>
        <w:rFonts w:hint="eastAsia"/>
      </w:rPr>
    </w:lvl>
    <w:lvl w:ilvl="5" w:tentative="0">
      <w:start w:val="1"/>
      <w:numFmt w:val="decimal"/>
      <w:lvlRestart w:val="0"/>
      <w:pStyle w:val="100"/>
      <w:suff w:val="space"/>
      <w:lvlText w:val="表%6"/>
      <w:lvlJc w:val="center"/>
      <w:pPr>
        <w:ind w:left="0" w:firstLine="0"/>
      </w:pPr>
      <w:rPr>
        <w:rFonts w:hint="eastAsia"/>
        <w:b w:val="0"/>
        <w:sz w:val="22"/>
        <w:szCs w:val="22"/>
      </w:rPr>
    </w:lvl>
    <w:lvl w:ilvl="6" w:tentative="0">
      <w:start w:val="1"/>
      <w:numFmt w:val="decimal"/>
      <w:lvlRestart w:val="0"/>
      <w:suff w:val="space"/>
      <w:lvlText w:val="图%7"/>
      <w:lvlJc w:val="center"/>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5">
    <w:nsid w:val="75A92735"/>
    <w:multiLevelType w:val="multilevel"/>
    <w:tmpl w:val="75A92735"/>
    <w:lvl w:ilvl="0" w:tentative="0">
      <w:start w:val="1"/>
      <w:numFmt w:val="decimal"/>
      <w:pStyle w:val="50"/>
      <w:lvlText w:val="%1"/>
      <w:lvlJc w:val="left"/>
      <w:pPr>
        <w:ind w:left="425" w:hanging="425"/>
      </w:pPr>
      <w:rPr>
        <w:rFonts w:hint="eastAsia"/>
      </w:rPr>
    </w:lvl>
    <w:lvl w:ilvl="1" w:tentative="0">
      <w:start w:val="1"/>
      <w:numFmt w:val="decimal"/>
      <w:pStyle w:val="49"/>
      <w:lvlText w:val="%1.%2"/>
      <w:lvlJc w:val="left"/>
      <w:pPr>
        <w:ind w:left="567" w:hanging="567"/>
      </w:pPr>
      <w:rPr>
        <w:rFonts w:hint="eastAsia"/>
      </w:rPr>
    </w:lvl>
    <w:lvl w:ilvl="2" w:tentative="0">
      <w:start w:val="1"/>
      <w:numFmt w:val="decimal"/>
      <w:pStyle w:val="48"/>
      <w:lvlText w:val="%1.%2.%3"/>
      <w:lvlJc w:val="left"/>
      <w:pPr>
        <w:ind w:left="709" w:hanging="709"/>
      </w:pPr>
      <w:rPr>
        <w:rFonts w:hint="default" w:ascii="Arial" w:hAnsi="Arial"/>
      </w:rPr>
    </w:lvl>
    <w:lvl w:ilvl="3" w:tentative="0">
      <w:start w:val="1"/>
      <w:numFmt w:val="decimal"/>
      <w:pStyle w:val="47"/>
      <w:lvlText w:val="%1.%2.%3.%4"/>
      <w:lvlJc w:val="left"/>
      <w:pPr>
        <w:ind w:left="851" w:hanging="851"/>
      </w:pPr>
      <w:rPr>
        <w:rFonts w:hint="eastAsia"/>
      </w:rPr>
    </w:lvl>
    <w:lvl w:ilvl="4" w:tentative="0">
      <w:start w:val="1"/>
      <w:numFmt w:val="decimal"/>
      <w:lvlRestart w:val="2"/>
      <w:pStyle w:val="46"/>
      <w:lvlText w:val="表%1.%2-%5"/>
      <w:lvlJc w:val="left"/>
      <w:pPr>
        <w:ind w:left="992" w:hanging="992"/>
      </w:pPr>
      <w:rPr>
        <w:rFonts w:hint="default" w:ascii="Arial" w:hAnsi="Arial" w:cs="Times New Roman"/>
        <w:b/>
        <w:bCs w:val="0"/>
        <w:i w:val="0"/>
        <w:iCs w:val="0"/>
        <w:caps w:val="0"/>
        <w:smallCaps w:val="0"/>
        <w:strike w:val="0"/>
        <w:dstrike w:val="0"/>
        <w:vanish w:val="0"/>
        <w:spacing w:val="0"/>
        <w:position w:val="0"/>
        <w:u w:val="none"/>
        <w:vertAlign w:val="baseline"/>
      </w:rPr>
    </w:lvl>
    <w:lvl w:ilvl="5" w:tentative="0">
      <w:start w:val="1"/>
      <w:numFmt w:val="decimal"/>
      <w:lvlText w:val="图%1.%2-%6"/>
      <w:lvlJc w:val="left"/>
      <w:pPr>
        <w:ind w:left="1134" w:hanging="1134"/>
      </w:pPr>
      <w:rPr>
        <w:rFonts w:hint="default" w:ascii="Arial" w:hAnsi="Arial" w:cs="Times New Roman"/>
        <w:b w:val="0"/>
        <w:bCs w:val="0"/>
        <w:i w:val="0"/>
        <w:iCs w:val="0"/>
        <w:caps w:val="0"/>
        <w:smallCaps w:val="0"/>
        <w:strike w:val="0"/>
        <w:dstrike w:val="0"/>
        <w:vanish w:val="0"/>
        <w:spacing w:val="0"/>
        <w:position w:val="0"/>
        <w:u w:val="none"/>
        <w:vertAlign w:val="baseline"/>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DE0ODY3ZTVjZmM3ZmY0MzMwYTgxMjgzYzcxMjgifQ=="/>
    <w:docVar w:name="KSO_WPS_MARK_KEY" w:val="22140edb-c692-40a4-847e-bf9802ad79f9"/>
  </w:docVars>
  <w:rsids>
    <w:rsidRoot w:val="04D610D0"/>
    <w:rsid w:val="015274DE"/>
    <w:rsid w:val="03712C6B"/>
    <w:rsid w:val="04D610D0"/>
    <w:rsid w:val="08B50B4F"/>
    <w:rsid w:val="097E2D12"/>
    <w:rsid w:val="0ABF638D"/>
    <w:rsid w:val="0C7D3388"/>
    <w:rsid w:val="0E4B4CFA"/>
    <w:rsid w:val="106228B4"/>
    <w:rsid w:val="1A217672"/>
    <w:rsid w:val="1F6D0754"/>
    <w:rsid w:val="2274014D"/>
    <w:rsid w:val="26B738C8"/>
    <w:rsid w:val="29211645"/>
    <w:rsid w:val="2BBB61CE"/>
    <w:rsid w:val="2FBF6E79"/>
    <w:rsid w:val="30C10B10"/>
    <w:rsid w:val="39CC7973"/>
    <w:rsid w:val="411E5884"/>
    <w:rsid w:val="42EB52F9"/>
    <w:rsid w:val="45F4121B"/>
    <w:rsid w:val="46954163"/>
    <w:rsid w:val="492A63C7"/>
    <w:rsid w:val="4CBC1725"/>
    <w:rsid w:val="4D7A3327"/>
    <w:rsid w:val="5277423B"/>
    <w:rsid w:val="5B351579"/>
    <w:rsid w:val="5FAC6BD9"/>
    <w:rsid w:val="62B602D5"/>
    <w:rsid w:val="63B2349B"/>
    <w:rsid w:val="654B1592"/>
    <w:rsid w:val="69AB1952"/>
    <w:rsid w:val="6D85011C"/>
    <w:rsid w:val="6E5B3BED"/>
    <w:rsid w:val="6F2F054A"/>
    <w:rsid w:val="6F33696F"/>
    <w:rsid w:val="731A69C0"/>
    <w:rsid w:val="744A4290"/>
    <w:rsid w:val="768631CC"/>
    <w:rsid w:val="76A4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6"/>
    <w:qFormat/>
    <w:uiPriority w:val="99"/>
    <w:pPr>
      <w:keepNext/>
      <w:overflowPunct w:val="0"/>
      <w:snapToGrid w:val="0"/>
      <w:spacing w:before="120" w:beforeLines="0" w:after="160" w:afterLines="0" w:line="259" w:lineRule="auto"/>
      <w:ind w:left="432" w:hanging="432"/>
      <w:outlineLvl w:val="0"/>
    </w:pPr>
    <w:rPr>
      <w:rFonts w:eastAsia="黑体"/>
      <w:b/>
      <w:bCs/>
      <w:color w:val="000000"/>
      <w:kern w:val="44"/>
      <w:sz w:val="30"/>
      <w:szCs w:val="30"/>
    </w:rPr>
  </w:style>
  <w:style w:type="paragraph" w:styleId="4">
    <w:name w:val="heading 2"/>
    <w:basedOn w:val="1"/>
    <w:next w:val="1"/>
    <w:unhideWhenUsed/>
    <w:qFormat/>
    <w:uiPriority w:val="0"/>
    <w:pPr>
      <w:keepNext/>
      <w:keepLines/>
      <w:ind w:firstLine="0" w:firstLineChars="0"/>
      <w:outlineLvl w:val="1"/>
    </w:pPr>
    <w:rPr>
      <w:b/>
      <w:bCs/>
      <w:sz w:val="28"/>
      <w:szCs w:val="28"/>
    </w:rPr>
  </w:style>
  <w:style w:type="paragraph" w:styleId="2">
    <w:name w:val="heading 3"/>
    <w:basedOn w:val="1"/>
    <w:next w:val="1"/>
    <w:unhideWhenUsed/>
    <w:qFormat/>
    <w:uiPriority w:val="0"/>
    <w:pPr>
      <w:keepNext/>
      <w:keepLines/>
      <w:spacing w:beforeLines="0" w:beforeAutospacing="0" w:afterLines="0" w:afterAutospacing="0" w:line="360" w:lineRule="auto"/>
      <w:outlineLvl w:val="2"/>
    </w:pPr>
    <w:rPr>
      <w:rFonts w:ascii="Times New Roman" w:hAnsi="Times New Roman"/>
      <w:b/>
      <w:bCs/>
    </w:rPr>
  </w:style>
  <w:style w:type="paragraph" w:styleId="5">
    <w:name w:val="heading 4"/>
    <w:basedOn w:val="1"/>
    <w:next w:val="1"/>
    <w:qFormat/>
    <w:uiPriority w:val="0"/>
    <w:pPr>
      <w:keepNext/>
      <w:keepLines/>
      <w:tabs>
        <w:tab w:val="left" w:pos="864"/>
      </w:tabs>
      <w:spacing w:line="360" w:lineRule="auto"/>
      <w:ind w:firstLine="200" w:firstLineChars="200"/>
      <w:outlineLvl w:val="3"/>
    </w:pPr>
    <w:rPr>
      <w:b/>
      <w:bCs/>
      <w:kern w:val="0"/>
      <w:sz w:val="24"/>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99"/>
    <w:pPr>
      <w:ind w:firstLine="420"/>
    </w:pPr>
    <w:rPr>
      <w:rFonts w:ascii="Times New Roman" w:hAnsi="Times New Roman" w:eastAsia="宋体" w:cs="Times New Roman"/>
      <w:sz w:val="15"/>
      <w:szCs w:val="20"/>
    </w:rPr>
  </w:style>
  <w:style w:type="paragraph" w:styleId="8">
    <w:name w:val="caption"/>
    <w:basedOn w:val="1"/>
    <w:next w:val="9"/>
    <w:qFormat/>
    <w:uiPriority w:val="0"/>
    <w:pPr>
      <w:jc w:val="center"/>
    </w:pPr>
    <w:rPr>
      <w:rFonts w:ascii="Arial" w:hAnsi="Arial"/>
      <w:b/>
      <w:szCs w:val="24"/>
    </w:rPr>
  </w:style>
  <w:style w:type="paragraph" w:customStyle="1" w:styleId="9">
    <w:name w:val="报告正文"/>
    <w:basedOn w:val="1"/>
    <w:qFormat/>
    <w:uiPriority w:val="0"/>
    <w:pPr>
      <w:spacing w:line="360" w:lineRule="auto"/>
      <w:ind w:firstLine="200" w:firstLineChars="200"/>
    </w:pPr>
    <w:rPr>
      <w:rFonts w:ascii="Times New Roman" w:hAnsi="Times New Roman"/>
      <w:sz w:val="24"/>
      <w:szCs w:val="20"/>
    </w:rPr>
  </w:style>
  <w:style w:type="paragraph" w:styleId="10">
    <w:name w:val="annotation text"/>
    <w:basedOn w:val="1"/>
    <w:semiHidden/>
    <w:qFormat/>
    <w:uiPriority w:val="0"/>
    <w:pPr>
      <w:jc w:val="left"/>
    </w:pPr>
    <w:rPr>
      <w:kern w:val="0"/>
      <w:sz w:val="24"/>
      <w:szCs w:val="20"/>
    </w:rPr>
  </w:style>
  <w:style w:type="paragraph" w:styleId="11">
    <w:name w:val="Body Text"/>
    <w:basedOn w:val="1"/>
    <w:next w:val="12"/>
    <w:qFormat/>
    <w:uiPriority w:val="0"/>
    <w:rPr>
      <w:rFonts w:ascii="宋体"/>
      <w:sz w:val="28"/>
    </w:rPr>
  </w:style>
  <w:style w:type="paragraph" w:customStyle="1" w:styleId="12">
    <w:name w:val="xl27"/>
    <w:basedOn w:val="1"/>
    <w:qFormat/>
    <w:uiPriority w:val="0"/>
    <w:pPr>
      <w:pBdr>
        <w:bottom w:val="single" w:color="auto" w:sz="4" w:space="0"/>
        <w:right w:val="single" w:color="auto" w:sz="4" w:space="0"/>
      </w:pBdr>
      <w:spacing w:before="100" w:beforeAutospacing="1" w:after="100" w:afterAutospacing="1"/>
      <w:jc w:val="center"/>
    </w:pPr>
    <w:rPr>
      <w:rFonts w:eastAsia="Arial Unicode MS"/>
      <w:szCs w:val="21"/>
    </w:rPr>
  </w:style>
  <w:style w:type="paragraph" w:styleId="13">
    <w:name w:val="Body Text Indent"/>
    <w:basedOn w:val="1"/>
    <w:next w:val="1"/>
    <w:qFormat/>
    <w:uiPriority w:val="0"/>
    <w:pPr>
      <w:spacing w:after="120"/>
      <w:ind w:left="420" w:leftChars="200"/>
    </w:pPr>
    <w:rPr>
      <w:kern w:val="0"/>
      <w:sz w:val="24"/>
      <w:szCs w:val="20"/>
    </w:rPr>
  </w:style>
  <w:style w:type="paragraph" w:styleId="14">
    <w:name w:val="List Bullet 2"/>
    <w:basedOn w:val="1"/>
    <w:next w:val="15"/>
    <w:qFormat/>
    <w:uiPriority w:val="0"/>
    <w:pPr>
      <w:numPr>
        <w:ilvl w:val="0"/>
        <w:numId w:val="1"/>
      </w:numPr>
    </w:pPr>
  </w:style>
  <w:style w:type="paragraph" w:customStyle="1" w:styleId="15">
    <w:name w:val="xl70"/>
    <w:basedOn w:val="1"/>
    <w:next w:val="16"/>
    <w:qFormat/>
    <w:uiPriority w:val="0"/>
    <w:pPr>
      <w:widowControl/>
      <w:spacing w:before="280" w:after="280"/>
    </w:pPr>
    <w:rPr>
      <w:rFonts w:ascii="宋体"/>
    </w:rPr>
  </w:style>
  <w:style w:type="paragraph" w:customStyle="1" w:styleId="16">
    <w:name w:val="正文缩进1"/>
    <w:basedOn w:val="1"/>
    <w:next w:val="17"/>
    <w:qFormat/>
    <w:uiPriority w:val="0"/>
    <w:pPr>
      <w:ind w:firstLine="420"/>
    </w:pPr>
    <w:rPr>
      <w:szCs w:val="20"/>
    </w:rPr>
  </w:style>
  <w:style w:type="paragraph" w:customStyle="1" w:styleId="17">
    <w:name w:val="td1"/>
    <w:basedOn w:val="1"/>
    <w:next w:val="1"/>
    <w:qFormat/>
    <w:uiPriority w:val="0"/>
    <w:pPr>
      <w:widowControl/>
      <w:spacing w:before="280" w:after="280" w:line="300" w:lineRule="atLeast"/>
      <w:ind w:firstLine="200"/>
    </w:pPr>
    <w:rPr>
      <w:color w:val="000000"/>
      <w:sz w:val="18"/>
    </w:rPr>
  </w:style>
  <w:style w:type="paragraph" w:styleId="18">
    <w:name w:val="Plain Text"/>
    <w:basedOn w:val="1"/>
    <w:qFormat/>
    <w:uiPriority w:val="0"/>
    <w:rPr>
      <w:rFonts w:ascii="宋体" w:hAnsi="Courier New"/>
    </w:rPr>
  </w:style>
  <w:style w:type="paragraph" w:styleId="19">
    <w:name w:val="Body Text Indent 2"/>
    <w:basedOn w:val="1"/>
    <w:next w:val="1"/>
    <w:unhideWhenUsed/>
    <w:qFormat/>
    <w:uiPriority w:val="0"/>
    <w:pPr>
      <w:spacing w:after="120" w:line="480" w:lineRule="auto"/>
      <w:ind w:left="420" w:leftChars="200"/>
    </w:pPr>
  </w:style>
  <w:style w:type="paragraph" w:styleId="20">
    <w:name w:val="footer"/>
    <w:basedOn w:val="1"/>
    <w:qFormat/>
    <w:uiPriority w:val="99"/>
    <w:pPr>
      <w:tabs>
        <w:tab w:val="center" w:pos="4153"/>
        <w:tab w:val="right" w:pos="8306"/>
      </w:tabs>
      <w:snapToGrid w:val="0"/>
      <w:jc w:val="left"/>
    </w:pPr>
    <w:rPr>
      <w:kern w:val="0"/>
      <w:sz w:val="18"/>
      <w:szCs w:val="20"/>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List"/>
    <w:basedOn w:val="1"/>
    <w:next w:val="14"/>
    <w:qFormat/>
    <w:uiPriority w:val="0"/>
    <w:pPr>
      <w:ind w:left="200" w:hanging="200" w:hangingChars="200"/>
    </w:pPr>
  </w:style>
  <w:style w:type="paragraph" w:styleId="23">
    <w:name w:val="Body Text 2"/>
    <w:basedOn w:val="1"/>
    <w:next w:val="1"/>
    <w:unhideWhenUsed/>
    <w:qFormat/>
    <w:uiPriority w:val="99"/>
    <w:pPr>
      <w:spacing w:after="120" w:line="480" w:lineRule="auto"/>
    </w:pPr>
    <w:rPr>
      <w:rFonts w:ascii="宋体" w:hAnsi="宋体"/>
    </w:rPr>
  </w:style>
  <w:style w:type="paragraph" w:styleId="24">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5">
    <w:name w:val="Body Text First Indent"/>
    <w:basedOn w:val="11"/>
    <w:next w:val="1"/>
    <w:qFormat/>
    <w:uiPriority w:val="0"/>
    <w:pPr>
      <w:spacing w:after="120"/>
      <w:ind w:firstLine="420" w:firstLineChars="100"/>
    </w:pPr>
    <w:rPr>
      <w:sz w:val="21"/>
    </w:rPr>
  </w:style>
  <w:style w:type="paragraph" w:styleId="26">
    <w:name w:val="Body Text First Indent 2"/>
    <w:basedOn w:val="13"/>
    <w:next w:val="25"/>
    <w:qFormat/>
    <w:uiPriority w:val="0"/>
    <w:pPr>
      <w:widowControl w:val="0"/>
      <w:spacing w:after="120" w:afterLines="0" w:line="240" w:lineRule="auto"/>
      <w:ind w:left="420" w:leftChars="200" w:firstLine="420" w:firstLineChars="200"/>
      <w:jc w:val="both"/>
    </w:pPr>
    <w:rPr>
      <w:rFonts w:ascii="Times New Roman" w:hAnsi="Times New Roman" w:eastAsia="楷体_GB2312" w:cs="Times New Roman"/>
      <w:kern w:val="2"/>
      <w:sz w:val="18"/>
      <w:szCs w:val="24"/>
      <w:lang w:val="en-US" w:eastAsia="zh-CN" w:bidi="ar-SA"/>
    </w:rPr>
  </w:style>
  <w:style w:type="table" w:styleId="28">
    <w:name w:val="Table Grid"/>
    <w:basedOn w:val="27"/>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FollowedHyperlink"/>
    <w:basedOn w:val="29"/>
    <w:qFormat/>
    <w:uiPriority w:val="0"/>
    <w:rPr>
      <w:color w:val="333333"/>
      <w:u w:val="none"/>
    </w:rPr>
  </w:style>
  <w:style w:type="character" w:styleId="32">
    <w:name w:val="Hyperlink"/>
    <w:basedOn w:val="29"/>
    <w:unhideWhenUsed/>
    <w:qFormat/>
    <w:uiPriority w:val="99"/>
    <w:rPr>
      <w:color w:val="0000FF"/>
      <w:u w:val="single"/>
    </w:rPr>
  </w:style>
  <w:style w:type="character" w:styleId="33">
    <w:name w:val="annotation reference"/>
    <w:basedOn w:val="29"/>
    <w:semiHidden/>
    <w:qFormat/>
    <w:uiPriority w:val="0"/>
    <w:rPr>
      <w:sz w:val="21"/>
    </w:rPr>
  </w:style>
  <w:style w:type="paragraph" w:customStyle="1" w:styleId="34">
    <w:name w:val="样式 标题 1 + 四号 段前: 0 磅 段后: 0 磅 行距: 1.5 倍行距"/>
    <w:basedOn w:val="35"/>
    <w:next w:val="1"/>
    <w:qFormat/>
    <w:uiPriority w:val="0"/>
    <w:pPr>
      <w:spacing w:line="360" w:lineRule="auto"/>
      <w:jc w:val="center"/>
    </w:pPr>
    <w:rPr>
      <w:rFonts w:hAnsi="黑体" w:eastAsia="宋体"/>
      <w:sz w:val="21"/>
    </w:rPr>
  </w:style>
  <w:style w:type="paragraph" w:customStyle="1" w:styleId="35">
    <w:name w:val="1正文"/>
    <w:qFormat/>
    <w:uiPriority w:val="0"/>
    <w:pPr>
      <w:spacing w:line="48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6">
    <w:name w:val="Default1"/>
    <w:basedOn w:val="37"/>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7">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38">
    <w:name w:val="表格标题新"/>
    <w:basedOn w:val="39"/>
    <w:qFormat/>
    <w:uiPriority w:val="0"/>
    <w:pPr>
      <w:tabs>
        <w:tab w:val="left" w:pos="0"/>
      </w:tabs>
      <w:spacing w:before="156" w:beforeLines="50"/>
      <w:ind w:left="-113" w:right="-113" w:firstLine="562"/>
    </w:pPr>
    <w:rPr>
      <w:rFonts w:ascii="仿宋_GB2312" w:eastAsia="黑体"/>
      <w:b/>
      <w:snapToGrid w:val="0"/>
      <w:kern w:val="21"/>
      <w:szCs w:val="24"/>
    </w:rPr>
  </w:style>
  <w:style w:type="paragraph" w:customStyle="1" w:styleId="39">
    <w:name w:val="表格内文字"/>
    <w:basedOn w:val="1"/>
    <w:qFormat/>
    <w:uiPriority w:val="0"/>
    <w:pPr>
      <w:tabs>
        <w:tab w:val="left" w:pos="0"/>
      </w:tabs>
      <w:adjustRightInd w:val="0"/>
      <w:snapToGrid w:val="0"/>
      <w:jc w:val="center"/>
    </w:pPr>
    <w:rPr>
      <w:rFonts w:eastAsia="仿宋_GB2312"/>
      <w:sz w:val="24"/>
      <w:szCs w:val="28"/>
    </w:rPr>
  </w:style>
  <w:style w:type="paragraph" w:customStyle="1" w:styleId="40">
    <w:name w:val="表格中文字"/>
    <w:basedOn w:val="1"/>
    <w:qFormat/>
    <w:uiPriority w:val="0"/>
    <w:pPr>
      <w:snapToGrid w:val="0"/>
      <w:spacing w:line="240" w:lineRule="auto"/>
      <w:ind w:firstLine="0" w:firstLineChars="0"/>
      <w:jc w:val="center"/>
    </w:pPr>
    <w:rPr>
      <w:rFonts w:ascii="Times New Roman"/>
      <w:spacing w:val="0"/>
      <w:sz w:val="21"/>
      <w:szCs w:val="21"/>
    </w:rPr>
  </w:style>
  <w:style w:type="paragraph" w:customStyle="1" w:styleId="41">
    <w:name w:val="6表格内容"/>
    <w:basedOn w:val="42"/>
    <w:next w:val="42"/>
    <w:qFormat/>
    <w:uiPriority w:val="0"/>
    <w:pPr>
      <w:spacing w:line="240" w:lineRule="auto"/>
      <w:ind w:firstLine="0" w:firstLineChars="0"/>
      <w:jc w:val="center"/>
    </w:pPr>
    <w:rPr>
      <w:sz w:val="21"/>
    </w:rPr>
  </w:style>
  <w:style w:type="paragraph" w:customStyle="1" w:styleId="42">
    <w:name w:val="0报告正文"/>
    <w:basedOn w:val="1"/>
    <w:qFormat/>
    <w:uiPriority w:val="0"/>
    <w:pPr>
      <w:ind w:firstLine="200"/>
    </w:pPr>
  </w:style>
  <w:style w:type="paragraph" w:customStyle="1" w:styleId="43">
    <w:name w:val="D图表小四"/>
    <w:basedOn w:val="1"/>
    <w:qFormat/>
    <w:uiPriority w:val="0"/>
    <w:pPr>
      <w:adjustRightInd/>
      <w:spacing w:line="240" w:lineRule="auto"/>
      <w:jc w:val="center"/>
      <w:textAlignment w:val="auto"/>
    </w:pPr>
    <w:rPr>
      <w:rFonts w:ascii="Times New Roman" w:cs="Times New Roman"/>
      <w:b/>
      <w:bCs/>
      <w:kern w:val="2"/>
    </w:rPr>
  </w:style>
  <w:style w:type="paragraph" w:customStyle="1" w:styleId="44">
    <w:name w:val="Table Paragraph"/>
    <w:basedOn w:val="1"/>
    <w:qFormat/>
    <w:uiPriority w:val="1"/>
    <w:pPr>
      <w:autoSpaceDE w:val="0"/>
      <w:autoSpaceDN w:val="0"/>
      <w:adjustRightInd w:val="0"/>
      <w:spacing w:line="240" w:lineRule="auto"/>
      <w:ind w:firstLine="0" w:firstLineChars="0"/>
      <w:jc w:val="left"/>
    </w:pPr>
    <w:rPr>
      <w:kern w:val="0"/>
      <w:szCs w:val="24"/>
    </w:rPr>
  </w:style>
  <w:style w:type="character" w:customStyle="1" w:styleId="45">
    <w:name w:val="font71"/>
    <w:basedOn w:val="29"/>
    <w:qFormat/>
    <w:uiPriority w:val="0"/>
    <w:rPr>
      <w:rFonts w:hint="eastAsia" w:ascii="宋体" w:hAnsi="宋体" w:eastAsia="宋体" w:cs="宋体"/>
      <w:color w:val="000000"/>
      <w:sz w:val="21"/>
      <w:szCs w:val="21"/>
      <w:u w:val="none"/>
      <w:vertAlign w:val="superscript"/>
    </w:rPr>
  </w:style>
  <w:style w:type="paragraph" w:customStyle="1" w:styleId="46">
    <w:name w:val="书表头"/>
    <w:basedOn w:val="47"/>
    <w:qFormat/>
    <w:uiPriority w:val="0"/>
    <w:pPr>
      <w:numPr>
        <w:ilvl w:val="4"/>
      </w:numPr>
      <w:adjustRightInd w:val="0"/>
      <w:snapToGrid w:val="0"/>
      <w:spacing w:before="60"/>
      <w:jc w:val="center"/>
      <w:outlineLvl w:val="4"/>
    </w:pPr>
    <w:rPr>
      <w:b/>
    </w:rPr>
  </w:style>
  <w:style w:type="paragraph" w:customStyle="1" w:styleId="47">
    <w:name w:val="书四级"/>
    <w:basedOn w:val="48"/>
    <w:next w:val="51"/>
    <w:qFormat/>
    <w:uiPriority w:val="0"/>
    <w:pPr>
      <w:numPr>
        <w:ilvl w:val="3"/>
      </w:numPr>
      <w:outlineLvl w:val="3"/>
    </w:pPr>
    <w:rPr>
      <w:b w:val="0"/>
    </w:rPr>
  </w:style>
  <w:style w:type="paragraph" w:customStyle="1" w:styleId="48">
    <w:name w:val="书三级"/>
    <w:basedOn w:val="49"/>
    <w:next w:val="51"/>
    <w:qFormat/>
    <w:uiPriority w:val="0"/>
    <w:pPr>
      <w:numPr>
        <w:ilvl w:val="2"/>
      </w:numPr>
      <w:outlineLvl w:val="2"/>
    </w:pPr>
    <w:rPr>
      <w:rFonts w:eastAsia="宋体"/>
      <w:sz w:val="24"/>
    </w:rPr>
  </w:style>
  <w:style w:type="paragraph" w:customStyle="1" w:styleId="49">
    <w:name w:val="书二级"/>
    <w:basedOn w:val="50"/>
    <w:next w:val="51"/>
    <w:qFormat/>
    <w:uiPriority w:val="0"/>
    <w:pPr>
      <w:numPr>
        <w:ilvl w:val="1"/>
      </w:numPr>
      <w:spacing w:before="120"/>
      <w:outlineLvl w:val="1"/>
    </w:pPr>
    <w:rPr>
      <w:rFonts w:cs="Times New Roman"/>
      <w:sz w:val="28"/>
      <w:szCs w:val="24"/>
    </w:rPr>
  </w:style>
  <w:style w:type="paragraph" w:customStyle="1" w:styleId="50">
    <w:name w:val="书一级"/>
    <w:next w:val="51"/>
    <w:qFormat/>
    <w:uiPriority w:val="0"/>
    <w:pPr>
      <w:numPr>
        <w:ilvl w:val="0"/>
        <w:numId w:val="2"/>
      </w:numPr>
      <w:spacing w:before="200" w:line="460" w:lineRule="exact"/>
      <w:outlineLvl w:val="0"/>
    </w:pPr>
    <w:rPr>
      <w:rFonts w:ascii="Arial" w:hAnsi="Arial" w:eastAsia="黑体" w:cs="Arial"/>
      <w:b/>
      <w:kern w:val="2"/>
      <w:sz w:val="30"/>
      <w:lang w:val="en-US" w:eastAsia="zh-CN" w:bidi="ar-SA"/>
    </w:rPr>
  </w:style>
  <w:style w:type="paragraph" w:customStyle="1" w:styleId="51">
    <w:name w:val="书正文"/>
    <w:qFormat/>
    <w:uiPriority w:val="0"/>
    <w:pPr>
      <w:spacing w:before="60" w:line="460" w:lineRule="exact"/>
      <w:ind w:firstLine="200" w:firstLineChars="200"/>
      <w:jc w:val="both"/>
    </w:pPr>
    <w:rPr>
      <w:rFonts w:ascii="Arial" w:hAnsi="Arial" w:eastAsia="宋体" w:cs="Arial"/>
      <w:kern w:val="2"/>
      <w:sz w:val="24"/>
      <w:szCs w:val="24"/>
      <w:lang w:val="en-US" w:eastAsia="zh-CN" w:bidi="ar-SA"/>
    </w:rPr>
  </w:style>
  <w:style w:type="paragraph" w:customStyle="1" w:styleId="52">
    <w:name w:val="表2.3-1"/>
    <w:basedOn w:val="1"/>
    <w:qFormat/>
    <w:uiPriority w:val="0"/>
    <w:pPr>
      <w:numPr>
        <w:ilvl w:val="0"/>
        <w:numId w:val="3"/>
      </w:numPr>
      <w:adjustRightInd w:val="0"/>
      <w:snapToGrid w:val="0"/>
      <w:spacing w:line="320" w:lineRule="exact"/>
      <w:jc w:val="center"/>
      <w:outlineLvl w:val="4"/>
    </w:pPr>
    <w:rPr>
      <w:rFonts w:ascii="Arial" w:hAnsi="Arial"/>
      <w:sz w:val="24"/>
      <w:szCs w:val="21"/>
    </w:rPr>
  </w:style>
  <w:style w:type="paragraph" w:customStyle="1" w:styleId="53">
    <w:name w:val="Body Text 21"/>
    <w:basedOn w:val="1"/>
    <w:qFormat/>
    <w:uiPriority w:val="0"/>
    <w:pPr>
      <w:autoSpaceDE w:val="0"/>
      <w:autoSpaceDN w:val="0"/>
      <w:adjustRightInd w:val="0"/>
      <w:spacing w:line="480" w:lineRule="exact"/>
      <w:ind w:firstLine="540"/>
      <w:textAlignment w:val="baseline"/>
    </w:pPr>
    <w:rPr>
      <w:rFonts w:ascii="宋体" w:hAnsi="Tms Rmn"/>
      <w:kern w:val="0"/>
      <w:sz w:val="24"/>
      <w:szCs w:val="20"/>
    </w:rPr>
  </w:style>
  <w:style w:type="paragraph" w:styleId="54">
    <w:name w:val="List Paragraph"/>
    <w:basedOn w:val="1"/>
    <w:qFormat/>
    <w:uiPriority w:val="34"/>
    <w:pPr>
      <w:ind w:firstLine="420" w:firstLineChars="200"/>
    </w:pPr>
  </w:style>
  <w:style w:type="paragraph" w:customStyle="1" w:styleId="55">
    <w:name w:val="Default"/>
    <w:basedOn w:val="56"/>
    <w:next w:val="26"/>
    <w:unhideWhenUsed/>
    <w:qFormat/>
    <w:uiPriority w:val="99"/>
    <w:pPr>
      <w:widowControl w:val="0"/>
      <w:autoSpaceDE w:val="0"/>
      <w:autoSpaceDN w:val="0"/>
      <w:adjustRightInd w:val="0"/>
      <w:snapToGrid w:val="0"/>
      <w:spacing w:beforeLines="0" w:afterLines="0" w:line="360" w:lineRule="auto"/>
      <w:ind w:firstLine="480" w:firstLineChars="200"/>
    </w:pPr>
    <w:rPr>
      <w:rFonts w:hint="eastAsia" w:ascii="宋体" w:hAnsi="宋体" w:eastAsia="宋体" w:cs="Times New Roman"/>
      <w:color w:val="000000"/>
      <w:sz w:val="24"/>
    </w:rPr>
  </w:style>
  <w:style w:type="paragraph" w:customStyle="1" w:styleId="5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57">
    <w:name w:val="纯文本1"/>
    <w:basedOn w:val="1"/>
    <w:qFormat/>
    <w:uiPriority w:val="0"/>
    <w:pPr>
      <w:adjustRightInd w:val="0"/>
      <w:textAlignment w:val="baseline"/>
    </w:pPr>
    <w:rPr>
      <w:rFonts w:ascii="宋体" w:hAnsi="Courier New"/>
      <w:szCs w:val="20"/>
    </w:rPr>
  </w:style>
  <w:style w:type="paragraph" w:customStyle="1" w:styleId="58">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9">
    <w:name w:val="正文标准样式"/>
    <w:basedOn w:val="1"/>
    <w:qFormat/>
    <w:uiPriority w:val="0"/>
    <w:pPr>
      <w:adjustRightInd w:val="0"/>
      <w:spacing w:line="300" w:lineRule="auto"/>
      <w:ind w:firstLine="482"/>
      <w:textAlignment w:val="baseline"/>
    </w:pPr>
    <w:rPr>
      <w:kern w:val="0"/>
      <w:sz w:val="24"/>
      <w:szCs w:val="20"/>
    </w:rPr>
  </w:style>
  <w:style w:type="paragraph" w:customStyle="1" w:styleId="60">
    <w:name w:val="Char Char Char"/>
    <w:basedOn w:val="1"/>
    <w:qFormat/>
    <w:uiPriority w:val="0"/>
    <w:rPr>
      <w:szCs w:val="24"/>
    </w:rPr>
  </w:style>
  <w:style w:type="paragraph" w:customStyle="1" w:styleId="61">
    <w:name w:val="正文-biao"/>
    <w:basedOn w:val="1"/>
    <w:qFormat/>
    <w:uiPriority w:val="0"/>
    <w:pPr>
      <w:spacing w:before="60" w:line="460" w:lineRule="exact"/>
      <w:ind w:firstLine="482"/>
    </w:pPr>
    <w:rPr>
      <w:rFonts w:hAnsi="宋体"/>
      <w:sz w:val="24"/>
      <w:szCs w:val="24"/>
    </w:rPr>
  </w:style>
  <w:style w:type="paragraph" w:customStyle="1" w:styleId="62">
    <w:name w:val="表格数字"/>
    <w:basedOn w:val="1"/>
    <w:qFormat/>
    <w:uiPriority w:val="0"/>
    <w:pPr>
      <w:spacing w:line="360" w:lineRule="exact"/>
      <w:jc w:val="center"/>
    </w:pPr>
    <w:rPr>
      <w:rFonts w:ascii="Arial" w:hAnsi="Arial"/>
      <w:kern w:val="0"/>
    </w:rPr>
  </w:style>
  <w:style w:type="paragraph" w:customStyle="1" w:styleId="63">
    <w:name w:val="报告正文-连续目录"/>
    <w:basedOn w:val="1"/>
    <w:qFormat/>
    <w:uiPriority w:val="0"/>
    <w:pPr>
      <w:spacing w:line="440" w:lineRule="exact"/>
      <w:ind w:firstLine="200" w:firstLineChars="200"/>
    </w:pPr>
    <w:rPr>
      <w:rFonts w:ascii="Arial" w:hAnsi="Arial"/>
      <w:snapToGrid w:val="0"/>
      <w:kern w:val="0"/>
      <w:sz w:val="24"/>
      <w:szCs w:val="24"/>
    </w:rPr>
  </w:style>
  <w:style w:type="paragraph" w:customStyle="1" w:styleId="64">
    <w:name w:val="正本文字"/>
    <w:basedOn w:val="1"/>
    <w:qFormat/>
    <w:uiPriority w:val="0"/>
    <w:pPr>
      <w:adjustRightInd w:val="0"/>
      <w:snapToGrid w:val="0"/>
      <w:spacing w:line="360" w:lineRule="auto"/>
      <w:ind w:firstLine="480" w:firstLineChars="200"/>
      <w:jc w:val="left"/>
    </w:pPr>
    <w:rPr>
      <w:kern w:val="18"/>
      <w:sz w:val="24"/>
    </w:rPr>
  </w:style>
  <w:style w:type="paragraph" w:customStyle="1" w:styleId="65">
    <w:name w:val="正文小四"/>
    <w:basedOn w:val="1"/>
    <w:qFormat/>
    <w:uiPriority w:val="0"/>
    <w:pPr>
      <w:spacing w:line="360" w:lineRule="auto"/>
      <w:ind w:firstLine="360" w:firstLineChars="150"/>
      <w:jc w:val="left"/>
    </w:pPr>
    <w:rPr>
      <w:rFonts w:eastAsia="Century Gothic"/>
      <w:sz w:val="24"/>
    </w:rPr>
  </w:style>
  <w:style w:type="paragraph" w:customStyle="1" w:styleId="66">
    <w:name w:val="居中正文"/>
    <w:basedOn w:val="25"/>
    <w:qFormat/>
    <w:uiPriority w:val="0"/>
    <w:pPr>
      <w:adjustRightInd w:val="0"/>
      <w:spacing w:before="120" w:after="0" w:line="360" w:lineRule="auto"/>
      <w:ind w:firstLine="0" w:firstLineChars="0"/>
      <w:jc w:val="center"/>
      <w:textAlignment w:val="baseline"/>
    </w:pPr>
    <w:rPr>
      <w:kern w:val="28"/>
      <w:sz w:val="24"/>
    </w:rPr>
  </w:style>
  <w:style w:type="paragraph" w:customStyle="1" w:styleId="67">
    <w:name w:val="表头zhou"/>
    <w:basedOn w:val="68"/>
    <w:qFormat/>
    <w:uiPriority w:val="0"/>
    <w:pPr>
      <w:tabs>
        <w:tab w:val="left" w:leader="underscore" w:pos="0"/>
        <w:tab w:val="left" w:leader="dot" w:pos="420"/>
      </w:tabs>
    </w:pPr>
    <w:rPr>
      <w:rFonts w:cs="等线"/>
    </w:rPr>
  </w:style>
  <w:style w:type="paragraph" w:customStyle="1" w:styleId="68">
    <w:name w:val="表格自动编号-德正"/>
    <w:basedOn w:val="1"/>
    <w:qFormat/>
    <w:uiPriority w:val="0"/>
    <w:pPr>
      <w:tabs>
        <w:tab w:val="left" w:leader="dot" w:pos="0"/>
        <w:tab w:val="left" w:leader="dot" w:pos="420"/>
      </w:tabs>
      <w:jc w:val="center"/>
    </w:pPr>
    <w:rPr>
      <w:b/>
      <w:szCs w:val="21"/>
    </w:rPr>
  </w:style>
  <w:style w:type="paragraph" w:customStyle="1" w:styleId="69">
    <w:name w:val="德正表格"/>
    <w:basedOn w:val="1"/>
    <w:qFormat/>
    <w:uiPriority w:val="0"/>
    <w:pPr>
      <w:adjustRightInd w:val="0"/>
      <w:snapToGrid w:val="0"/>
      <w:jc w:val="center"/>
    </w:pPr>
  </w:style>
  <w:style w:type="paragraph" w:customStyle="1" w:styleId="70">
    <w:name w:val="1、正文-德正"/>
    <w:basedOn w:val="1"/>
    <w:qFormat/>
    <w:uiPriority w:val="0"/>
    <w:pPr>
      <w:spacing w:line="360" w:lineRule="auto"/>
      <w:ind w:firstLine="720" w:firstLineChars="200"/>
    </w:pPr>
    <w:rPr>
      <w:kern w:val="0"/>
      <w:sz w:val="24"/>
      <w:szCs w:val="20"/>
    </w:rPr>
  </w:style>
  <w:style w:type="paragraph" w:customStyle="1" w:styleId="71">
    <w:name w:val="德正正文1"/>
    <w:basedOn w:val="1"/>
    <w:next w:val="72"/>
    <w:qFormat/>
    <w:uiPriority w:val="0"/>
    <w:pPr>
      <w:spacing w:line="360" w:lineRule="auto"/>
      <w:ind w:firstLine="200" w:firstLineChars="200"/>
      <w:jc w:val="left"/>
    </w:pPr>
    <w:rPr>
      <w:bCs/>
      <w:sz w:val="24"/>
    </w:rPr>
  </w:style>
  <w:style w:type="paragraph" w:customStyle="1" w:styleId="72">
    <w:name w:val="德正正文"/>
    <w:basedOn w:val="1"/>
    <w:next w:val="1"/>
    <w:qFormat/>
    <w:uiPriority w:val="0"/>
    <w:pPr>
      <w:adjustRightInd w:val="0"/>
      <w:snapToGrid w:val="0"/>
      <w:spacing w:line="360" w:lineRule="auto"/>
      <w:ind w:firstLine="200" w:firstLineChars="200"/>
    </w:pPr>
    <w:rPr>
      <w:rFonts w:cs="宋体"/>
      <w:color w:val="000000"/>
      <w:sz w:val="24"/>
      <w14:textFill>
        <w14:solidFill>
          <w14:srgbClr w14:val="000000">
            <w14:alpha w14:val="11000"/>
          </w14:srgbClr>
        </w14:solidFill>
      </w14:textFill>
    </w:rPr>
  </w:style>
  <w:style w:type="paragraph" w:customStyle="1" w:styleId="73">
    <w:name w:val="正文首行缩进 2 + Times New Roman"/>
    <w:basedOn w:val="1"/>
    <w:qFormat/>
    <w:uiPriority w:val="0"/>
    <w:pPr>
      <w:tabs>
        <w:tab w:val="left" w:pos="0"/>
        <w:tab w:val="left" w:pos="870"/>
        <w:tab w:val="left" w:pos="3150"/>
      </w:tabs>
      <w:autoSpaceDE w:val="0"/>
      <w:autoSpaceDN w:val="0"/>
      <w:spacing w:line="360" w:lineRule="auto"/>
      <w:ind w:firstLine="480"/>
      <w:jc w:val="left"/>
    </w:pPr>
  </w:style>
  <w:style w:type="paragraph" w:customStyle="1" w:styleId="74">
    <w:name w:val="表格自动编号"/>
    <w:basedOn w:val="1"/>
    <w:qFormat/>
    <w:uiPriority w:val="0"/>
    <w:pPr>
      <w:tabs>
        <w:tab w:val="left" w:pos="0"/>
        <w:tab w:val="left" w:pos="2126"/>
      </w:tabs>
      <w:jc w:val="center"/>
    </w:pPr>
    <w:rPr>
      <w:b/>
    </w:rPr>
  </w:style>
  <w:style w:type="character" w:customStyle="1" w:styleId="75">
    <w:name w:val="font21"/>
    <w:qFormat/>
    <w:uiPriority w:val="0"/>
    <w:rPr>
      <w:rFonts w:hint="eastAsia" w:ascii="宋体" w:hAnsi="宋体" w:eastAsia="宋体" w:cs="宋体"/>
      <w:b/>
      <w:color w:val="333333"/>
      <w:sz w:val="18"/>
      <w:szCs w:val="18"/>
    </w:rPr>
  </w:style>
  <w:style w:type="character" w:customStyle="1" w:styleId="76">
    <w:name w:val="font31"/>
    <w:qFormat/>
    <w:uiPriority w:val="0"/>
    <w:rPr>
      <w:rFonts w:hint="eastAsia" w:ascii="宋体" w:hAnsi="宋体" w:eastAsia="宋体" w:cs="宋体"/>
      <w:color w:val="333333"/>
      <w:sz w:val="18"/>
      <w:szCs w:val="18"/>
    </w:rPr>
  </w:style>
  <w:style w:type="character" w:customStyle="1" w:styleId="77">
    <w:name w:val="font11"/>
    <w:qFormat/>
    <w:uiPriority w:val="0"/>
    <w:rPr>
      <w:rFonts w:hint="default" w:ascii="Tahoma" w:hAnsi="Tahoma" w:eastAsia="Tahoma" w:cs="Tahoma"/>
      <w:color w:val="333333"/>
      <w:sz w:val="22"/>
      <w:szCs w:val="22"/>
    </w:rPr>
  </w:style>
  <w:style w:type="paragraph" w:customStyle="1" w:styleId="78">
    <w:name w:val="表格文字"/>
    <w:basedOn w:val="11"/>
    <w:qFormat/>
    <w:uiPriority w:val="0"/>
    <w:pPr>
      <w:spacing w:after="0" w:afterLines="0" w:line="320" w:lineRule="exact"/>
      <w:ind w:firstLine="0" w:firstLineChars="0"/>
      <w:jc w:val="center"/>
    </w:pPr>
    <w:rPr>
      <w:rFonts w:ascii="宋体"/>
      <w:kern w:val="2"/>
      <w:sz w:val="21"/>
      <w:szCs w:val="24"/>
    </w:rPr>
  </w:style>
  <w:style w:type="paragraph" w:customStyle="1" w:styleId="79">
    <w:name w:val="样式 标题 2"/>
    <w:basedOn w:val="4"/>
    <w:qFormat/>
    <w:uiPriority w:val="0"/>
    <w:pPr>
      <w:spacing w:before="50" w:after="50"/>
    </w:pPr>
    <w:rPr>
      <w:szCs w:val="28"/>
    </w:rPr>
  </w:style>
  <w:style w:type="paragraph" w:customStyle="1" w:styleId="80">
    <w:name w:val="D表内1磅"/>
    <w:basedOn w:val="81"/>
    <w:qFormat/>
    <w:uiPriority w:val="0"/>
    <w:pPr>
      <w:widowControl w:val="0"/>
      <w:spacing w:before="20" w:beforeLines="0" w:after="20" w:afterLines="0"/>
      <w:jc w:val="center"/>
    </w:pPr>
    <w:rPr>
      <w:rFonts w:ascii="Times New Roman" w:hAnsi="Times New Roman" w:eastAsia="宋体" w:cs="Times New Roman"/>
      <w:kern w:val="2"/>
      <w:sz w:val="21"/>
      <w:szCs w:val="21"/>
      <w:lang w:val="en-US" w:eastAsia="zh-CN" w:bidi="ar-SA"/>
    </w:rPr>
  </w:style>
  <w:style w:type="paragraph" w:customStyle="1" w:styleId="81">
    <w:name w:val="D表内0磅"/>
    <w:basedOn w:val="82"/>
    <w:qFormat/>
    <w:uiPriority w:val="0"/>
    <w:pPr>
      <w:widowControl w:val="0"/>
      <w:spacing w:before="40" w:beforeLines="0" w:after="40" w:afterLines="0"/>
      <w:jc w:val="center"/>
    </w:pPr>
    <w:rPr>
      <w:rFonts w:ascii="Times New Roman" w:hAnsi="Times New Roman" w:eastAsia="宋体" w:cs="Times New Roman"/>
      <w:kern w:val="2"/>
      <w:sz w:val="21"/>
      <w:szCs w:val="21"/>
      <w:lang w:val="en-US" w:eastAsia="zh-CN" w:bidi="ar-SA"/>
    </w:rPr>
  </w:style>
  <w:style w:type="paragraph" w:customStyle="1" w:styleId="82">
    <w:name w:val="D表内"/>
    <w:basedOn w:val="83"/>
    <w:qFormat/>
    <w:uiPriority w:val="0"/>
    <w:pPr>
      <w:widowControl w:val="0"/>
      <w:spacing w:before="40" w:beforeLines="0" w:after="40" w:afterLines="0"/>
      <w:jc w:val="center"/>
    </w:pPr>
    <w:rPr>
      <w:rFonts w:ascii="Times New Roman" w:hAnsi="Times New Roman" w:eastAsia="宋体" w:cs="Times New Roman"/>
      <w:kern w:val="2"/>
      <w:sz w:val="21"/>
      <w:szCs w:val="21"/>
      <w:lang w:val="en-US" w:eastAsia="zh-CN" w:bidi="ar-SA"/>
    </w:rPr>
  </w:style>
  <w:style w:type="paragraph" w:customStyle="1" w:styleId="83">
    <w:name w:val="图表"/>
    <w:semiHidden/>
    <w:qFormat/>
    <w:uiPriority w:val="0"/>
    <w:pPr>
      <w:widowControl w:val="0"/>
      <w:spacing w:before="120" w:after="120"/>
      <w:jc w:val="center"/>
    </w:pPr>
    <w:rPr>
      <w:rFonts w:ascii="Times New Roman" w:hAnsi="Times New Roman" w:eastAsia="宋体" w:cs="Times New Roman"/>
      <w:kern w:val="2"/>
      <w:sz w:val="21"/>
      <w:szCs w:val="21"/>
      <w:lang w:val="en-US" w:eastAsia="zh-CN" w:bidi="ar-SA"/>
    </w:rPr>
  </w:style>
  <w:style w:type="paragraph" w:customStyle="1" w:styleId="84">
    <w:name w:val="HJN-ZZ"/>
    <w:basedOn w:val="1"/>
    <w:qFormat/>
    <w:uiPriority w:val="0"/>
    <w:pPr>
      <w:adjustRightInd w:val="0"/>
      <w:spacing w:line="360" w:lineRule="auto"/>
      <w:ind w:firstLine="482"/>
      <w:jc w:val="left"/>
      <w:textAlignment w:val="baseline"/>
    </w:pPr>
    <w:rPr>
      <w:rFonts w:ascii="宋体" w:hAnsi="宋体"/>
      <w:kern w:val="21"/>
      <w:sz w:val="24"/>
    </w:rPr>
  </w:style>
  <w:style w:type="paragraph" w:customStyle="1" w:styleId="85">
    <w:name w:val="样式 小四 行距: 1.5 倍行距"/>
    <w:basedOn w:val="1"/>
    <w:qFormat/>
    <w:uiPriority w:val="0"/>
    <w:pPr>
      <w:ind w:firstLine="480" w:firstLineChars="200"/>
    </w:pPr>
    <w:rPr>
      <w:rFonts w:cs="宋体"/>
    </w:rPr>
  </w:style>
  <w:style w:type="paragraph" w:customStyle="1" w:styleId="86">
    <w:name w:val="正文（我的报告）"/>
    <w:qFormat/>
    <w:uiPriority w:val="0"/>
    <w:pPr>
      <w:widowControl w:val="0"/>
      <w:adjustRightInd w:val="0"/>
      <w:snapToGrid w:val="0"/>
      <w:jc w:val="center"/>
    </w:pPr>
    <w:rPr>
      <w:rFonts w:ascii="Times New Roman" w:hAnsi="Times New Roman" w:eastAsia="宋体" w:cs="Times New Roman"/>
      <w:kern w:val="2"/>
      <w:sz w:val="21"/>
      <w:lang w:val="en-US" w:eastAsia="zh-CN" w:bidi="ar-SA"/>
    </w:rPr>
  </w:style>
  <w:style w:type="paragraph" w:customStyle="1" w:styleId="87">
    <w:name w:val="正文王"/>
    <w:basedOn w:val="88"/>
    <w:semiHidden/>
    <w:qFormat/>
    <w:uiPriority w:val="0"/>
    <w:pPr>
      <w:spacing w:line="360" w:lineRule="auto"/>
      <w:ind w:firstLine="720" w:firstLineChars="200"/>
    </w:pPr>
    <w:rPr>
      <w:sz w:val="24"/>
      <w:szCs w:val="20"/>
    </w:rPr>
  </w:style>
  <w:style w:type="paragraph" w:customStyle="1" w:styleId="88">
    <w:name w:val="标题三王"/>
    <w:basedOn w:val="89"/>
    <w:semiHidden/>
    <w:qFormat/>
    <w:uiPriority w:val="0"/>
    <w:pPr>
      <w:spacing w:before="156" w:beforeLines="50" w:after="62" w:afterLines="20"/>
      <w:outlineLvl w:val="2"/>
    </w:pPr>
    <w:rPr>
      <w:sz w:val="28"/>
    </w:rPr>
  </w:style>
  <w:style w:type="paragraph" w:customStyle="1" w:styleId="89">
    <w:name w:val="标题二王"/>
    <w:basedOn w:val="1"/>
    <w:semiHidden/>
    <w:qFormat/>
    <w:uiPriority w:val="0"/>
    <w:pPr>
      <w:spacing w:before="312" w:beforeLines="100" w:after="156" w:afterLines="50" w:line="360" w:lineRule="auto"/>
      <w:outlineLvl w:val="1"/>
    </w:pPr>
    <w:rPr>
      <w:rFonts w:ascii="Times New Roman" w:hAnsi="Times New Roman" w:eastAsia="黑体"/>
      <w:b/>
      <w:sz w:val="32"/>
    </w:rPr>
  </w:style>
  <w:style w:type="paragraph" w:customStyle="1" w:styleId="90">
    <w:name w:val="A表内"/>
    <w:basedOn w:val="1"/>
    <w:qFormat/>
    <w:uiPriority w:val="0"/>
    <w:pPr>
      <w:spacing w:line="0" w:lineRule="atLeast"/>
      <w:jc w:val="center"/>
    </w:pPr>
    <w:rPr>
      <w:rFonts w:cs="宋体"/>
      <w:szCs w:val="20"/>
    </w:rPr>
  </w:style>
  <w:style w:type="paragraph" w:customStyle="1" w:styleId="91">
    <w:name w:val="标题4"/>
    <w:basedOn w:val="5"/>
    <w:next w:val="25"/>
    <w:qFormat/>
    <w:uiPriority w:val="0"/>
    <w:pPr>
      <w:autoSpaceDE w:val="0"/>
      <w:autoSpaceDN w:val="0"/>
      <w:adjustRightInd w:val="0"/>
      <w:spacing w:before="0" w:after="0" w:line="360" w:lineRule="auto"/>
      <w:jc w:val="left"/>
    </w:pPr>
    <w:rPr>
      <w:rFonts w:ascii="Times New Roman" w:hAnsi="Times New Roman" w:eastAsia="宋体"/>
      <w:kern w:val="0"/>
      <w:sz w:val="24"/>
      <w:szCs w:val="24"/>
    </w:rPr>
  </w:style>
  <w:style w:type="paragraph" w:customStyle="1" w:styleId="92">
    <w:name w:val="D标三"/>
    <w:basedOn w:val="93"/>
    <w:qFormat/>
    <w:uiPriority w:val="0"/>
    <w:pPr>
      <w:pageBreakBefore w:val="0"/>
      <w:spacing w:before="240" w:after="0"/>
    </w:pPr>
    <w:rPr>
      <w:color w:val="auto"/>
      <w:sz w:val="28"/>
      <w:szCs w:val="26"/>
    </w:rPr>
  </w:style>
  <w:style w:type="paragraph" w:customStyle="1" w:styleId="93">
    <w:name w:val="标题三"/>
    <w:basedOn w:val="2"/>
    <w:qFormat/>
    <w:uiPriority w:val="0"/>
    <w:pPr>
      <w:widowControl w:val="0"/>
      <w:spacing w:beforeLines="0" w:afterLines="0"/>
      <w:jc w:val="both"/>
    </w:pPr>
    <w:rPr>
      <w:rFonts w:eastAsia="黑体"/>
      <w:sz w:val="26"/>
    </w:rPr>
  </w:style>
  <w:style w:type="paragraph" w:customStyle="1" w:styleId="94">
    <w:name w:val="0正文"/>
    <w:basedOn w:val="1"/>
    <w:qFormat/>
    <w:uiPriority w:val="0"/>
    <w:pPr>
      <w:spacing w:line="360" w:lineRule="auto"/>
      <w:ind w:firstLine="480" w:firstLineChars="200"/>
      <w:jc w:val="both"/>
    </w:pPr>
    <w:rPr>
      <w:kern w:val="2"/>
      <w:sz w:val="24"/>
      <w:szCs w:val="24"/>
    </w:rPr>
  </w:style>
  <w:style w:type="paragraph" w:customStyle="1" w:styleId="95">
    <w:name w:val="A表头"/>
    <w:qFormat/>
    <w:uiPriority w:val="0"/>
    <w:pPr>
      <w:widowControl w:val="0"/>
      <w:spacing w:before="156" w:beforeLines="50" w:line="240" w:lineRule="atLeast"/>
      <w:ind w:firstLine="200" w:firstLineChars="200"/>
      <w:contextualSpacing/>
    </w:pPr>
    <w:rPr>
      <w:rFonts w:ascii="Times New Roman" w:hAnsi="Times New Roman" w:eastAsia="黑体" w:cs="宋体"/>
      <w:color w:val="000000"/>
      <w:kern w:val="2"/>
      <w:sz w:val="22"/>
      <w:lang w:val="en-US" w:eastAsia="zh-CN" w:bidi="ar-SA"/>
    </w:rPr>
  </w:style>
  <w:style w:type="paragraph" w:customStyle="1" w:styleId="96">
    <w:name w:val="【】3级"/>
    <w:basedOn w:val="2"/>
    <w:next w:val="97"/>
    <w:qFormat/>
    <w:uiPriority w:val="0"/>
    <w:pPr>
      <w:numPr>
        <w:ilvl w:val="2"/>
        <w:numId w:val="4"/>
      </w:numPr>
      <w:spacing w:before="0" w:after="0" w:line="500" w:lineRule="exact"/>
    </w:pPr>
    <w:rPr>
      <w:rFonts w:eastAsia="黑体" w:cs="宋体"/>
      <w:b w:val="0"/>
      <w:spacing w:val="6"/>
      <w:kern w:val="0"/>
      <w:sz w:val="24"/>
      <w:szCs w:val="20"/>
    </w:rPr>
  </w:style>
  <w:style w:type="paragraph" w:customStyle="1" w:styleId="97">
    <w:name w:val="【】4级"/>
    <w:basedOn w:val="5"/>
    <w:next w:val="98"/>
    <w:qFormat/>
    <w:uiPriority w:val="0"/>
    <w:pPr>
      <w:numPr>
        <w:ilvl w:val="3"/>
        <w:numId w:val="4"/>
      </w:numPr>
      <w:spacing w:before="0" w:after="0" w:line="500" w:lineRule="exact"/>
      <w:outlineLvl w:val="9"/>
    </w:pPr>
    <w:rPr>
      <w:rFonts w:ascii="Times New Roman" w:hAnsi="Times New Roman" w:eastAsia="黑体"/>
      <w:b w:val="0"/>
      <w:sz w:val="24"/>
    </w:rPr>
  </w:style>
  <w:style w:type="paragraph" w:customStyle="1" w:styleId="98">
    <w:name w:val="【】5级"/>
    <w:basedOn w:val="6"/>
    <w:next w:val="99"/>
    <w:qFormat/>
    <w:uiPriority w:val="0"/>
    <w:pPr>
      <w:numPr>
        <w:ilvl w:val="4"/>
        <w:numId w:val="4"/>
      </w:numPr>
      <w:spacing w:before="0" w:after="0" w:line="500" w:lineRule="exact"/>
      <w:outlineLvl w:val="9"/>
    </w:pPr>
    <w:rPr>
      <w:rFonts w:eastAsia="黑体"/>
      <w:b w:val="0"/>
      <w:sz w:val="24"/>
    </w:rPr>
  </w:style>
  <w:style w:type="paragraph" w:customStyle="1" w:styleId="99">
    <w:name w:val="A0正文"/>
    <w:qFormat/>
    <w:uiPriority w:val="0"/>
    <w:pPr>
      <w:widowControl w:val="0"/>
      <w:spacing w:line="500" w:lineRule="exact"/>
      <w:jc w:val="both"/>
    </w:pPr>
    <w:rPr>
      <w:rFonts w:ascii="Times New Roman" w:hAnsi="Times New Roman" w:eastAsia="宋体" w:cs="宋体"/>
      <w:kern w:val="2"/>
      <w:sz w:val="21"/>
      <w:lang w:val="zh-CN" w:eastAsia="zh-CN" w:bidi="ar-SA"/>
    </w:rPr>
  </w:style>
  <w:style w:type="paragraph" w:customStyle="1" w:styleId="100">
    <w:name w:val="【】表头"/>
    <w:basedOn w:val="1"/>
    <w:next w:val="90"/>
    <w:qFormat/>
    <w:uiPriority w:val="0"/>
    <w:pPr>
      <w:numPr>
        <w:ilvl w:val="5"/>
        <w:numId w:val="4"/>
      </w:numPr>
      <w:spacing w:before="50" w:beforeLines="50" w:line="240" w:lineRule="atLeast"/>
      <w:jc w:val="center"/>
      <w:outlineLvl w:val="5"/>
    </w:pPr>
    <w:rPr>
      <w:rFonts w:eastAsia="黑体" w:cs="宋体"/>
      <w:sz w:val="22"/>
      <w:szCs w:val="20"/>
    </w:rPr>
  </w:style>
  <w:style w:type="paragraph" w:customStyle="1" w:styleId="101">
    <w:name w:val="表头"/>
    <w:basedOn w:val="74"/>
    <w:next w:val="1"/>
    <w:qFormat/>
    <w:uiPriority w:val="0"/>
    <w:pPr>
      <w:adjustRightInd w:val="0"/>
      <w:spacing w:after="0" w:afterLines="0" w:line="360" w:lineRule="auto"/>
      <w:jc w:val="center"/>
      <w:textAlignment w:val="baseline"/>
    </w:pPr>
    <w:rPr>
      <w:rFonts w:ascii="宋体" w:hAnsi="Times New Roman" w:eastAsia="宋体" w:cs="Times New Roman"/>
      <w:snapToGrid w:val="0"/>
      <w:spacing w:val="4"/>
      <w:kern w:val="18"/>
      <w:sz w:val="24"/>
      <w:szCs w:val="22"/>
      <w:lang w:val="en-US" w:eastAsia="zh-CN" w:bidi="ar-SA"/>
    </w:rPr>
  </w:style>
  <w:style w:type="paragraph" w:customStyle="1" w:styleId="102">
    <w:name w:val="样式1"/>
    <w:basedOn w:val="78"/>
    <w:qFormat/>
    <w:uiPriority w:val="0"/>
    <w:pPr>
      <w:widowControl w:val="0"/>
      <w:spacing w:line="360" w:lineRule="auto"/>
      <w:ind w:firstLine="425"/>
      <w:jc w:val="center"/>
    </w:pPr>
    <w:rPr>
      <w:rFonts w:ascii="宋体" w:hAnsi="宋体" w:eastAsia="仿宋_GB2312" w:cs="黑体"/>
      <w:kern w:val="44"/>
      <w:sz w:val="24"/>
      <w:lang w:val="en-US" w:eastAsia="zh-CN" w:bidi="ar-SA"/>
    </w:rPr>
  </w:style>
  <w:style w:type="paragraph" w:customStyle="1" w:styleId="103">
    <w:name w:val="4级（小）标题"/>
    <w:basedOn w:val="1"/>
    <w:qFormat/>
    <w:uiPriority w:val="0"/>
    <w:pPr>
      <w:spacing w:before="60"/>
      <w:ind w:firstLine="150" w:firstLineChars="150"/>
      <w:outlineLvl w:val="3"/>
    </w:pPr>
    <w:rPr>
      <w:b/>
    </w:rPr>
  </w:style>
  <w:style w:type="paragraph" w:customStyle="1" w:styleId="104">
    <w:name w:val="正文(首行缩进)"/>
    <w:qFormat/>
    <w:uiPriority w:val="0"/>
    <w:pPr>
      <w:widowControl w:val="0"/>
      <w:spacing w:line="360" w:lineRule="auto"/>
      <w:ind w:firstLine="510"/>
      <w:jc w:val="both"/>
    </w:pPr>
    <w:rPr>
      <w:rFonts w:ascii="宋体" w:hAnsi="宋体" w:eastAsia="宋体" w:cs="Times New Roman"/>
      <w:snapToGrid w:val="0"/>
      <w:sz w:val="24"/>
      <w:lang w:val="en-US" w:eastAsia="zh-CN" w:bidi="ar-SA"/>
    </w:rPr>
  </w:style>
  <w:style w:type="paragraph" w:customStyle="1" w:styleId="105">
    <w:name w:val="五号表格"/>
    <w:basedOn w:val="1"/>
    <w:qFormat/>
    <w:uiPriority w:val="0"/>
    <w:pPr>
      <w:jc w:val="center"/>
    </w:pPr>
    <w:rPr>
      <w:kern w:val="0"/>
      <w:szCs w:val="20"/>
    </w:rPr>
  </w:style>
  <w:style w:type="character" w:customStyle="1" w:styleId="106">
    <w:name w:val="ico5"/>
    <w:basedOn w:val="29"/>
    <w:qFormat/>
    <w:uiPriority w:val="0"/>
  </w:style>
  <w:style w:type="character" w:customStyle="1" w:styleId="107">
    <w:name w:val="ico51"/>
    <w:basedOn w:val="29"/>
    <w:qFormat/>
    <w:uiPriority w:val="0"/>
  </w:style>
  <w:style w:type="character" w:customStyle="1" w:styleId="108">
    <w:name w:val="ico52"/>
    <w:basedOn w:val="29"/>
    <w:qFormat/>
    <w:uiPriority w:val="0"/>
  </w:style>
  <w:style w:type="character" w:customStyle="1" w:styleId="109">
    <w:name w:val="ico53"/>
    <w:basedOn w:val="29"/>
    <w:qFormat/>
    <w:uiPriority w:val="0"/>
  </w:style>
  <w:style w:type="character" w:customStyle="1" w:styleId="110">
    <w:name w:val="ico54"/>
    <w:basedOn w:val="29"/>
    <w:qFormat/>
    <w:uiPriority w:val="0"/>
  </w:style>
  <w:style w:type="character" w:customStyle="1" w:styleId="111">
    <w:name w:val="ico55"/>
    <w:basedOn w:val="29"/>
    <w:qFormat/>
    <w:uiPriority w:val="0"/>
  </w:style>
  <w:style w:type="character" w:customStyle="1" w:styleId="112">
    <w:name w:val="ico56"/>
    <w:basedOn w:val="29"/>
    <w:qFormat/>
    <w:uiPriority w:val="0"/>
  </w:style>
  <w:style w:type="character" w:customStyle="1" w:styleId="113">
    <w:name w:val="weather"/>
    <w:basedOn w:val="29"/>
    <w:qFormat/>
    <w:uiPriority w:val="0"/>
  </w:style>
  <w:style w:type="character" w:customStyle="1" w:styleId="114">
    <w:name w:val="ico7"/>
    <w:basedOn w:val="29"/>
    <w:qFormat/>
    <w:uiPriority w:val="0"/>
  </w:style>
  <w:style w:type="character" w:customStyle="1" w:styleId="115">
    <w:name w:val="ico71"/>
    <w:basedOn w:val="29"/>
    <w:qFormat/>
    <w:uiPriority w:val="0"/>
  </w:style>
  <w:style w:type="character" w:customStyle="1" w:styleId="116">
    <w:name w:val="ico72"/>
    <w:basedOn w:val="29"/>
    <w:qFormat/>
    <w:uiPriority w:val="0"/>
  </w:style>
  <w:style w:type="character" w:customStyle="1" w:styleId="117">
    <w:name w:val="ico73"/>
    <w:basedOn w:val="29"/>
    <w:qFormat/>
    <w:uiPriority w:val="0"/>
  </w:style>
  <w:style w:type="character" w:customStyle="1" w:styleId="118">
    <w:name w:val="ico74"/>
    <w:basedOn w:val="29"/>
    <w:qFormat/>
    <w:uiPriority w:val="0"/>
  </w:style>
  <w:style w:type="character" w:customStyle="1" w:styleId="119">
    <w:name w:val="ico75"/>
    <w:basedOn w:val="29"/>
    <w:qFormat/>
    <w:uiPriority w:val="0"/>
  </w:style>
  <w:style w:type="character" w:customStyle="1" w:styleId="120">
    <w:name w:val="ico76"/>
    <w:basedOn w:val="29"/>
    <w:qFormat/>
    <w:uiPriority w:val="0"/>
  </w:style>
  <w:style w:type="character" w:customStyle="1" w:styleId="121">
    <w:name w:val="ico3"/>
    <w:basedOn w:val="29"/>
    <w:qFormat/>
    <w:uiPriority w:val="0"/>
  </w:style>
  <w:style w:type="character" w:customStyle="1" w:styleId="122">
    <w:name w:val="ico31"/>
    <w:basedOn w:val="29"/>
    <w:qFormat/>
    <w:uiPriority w:val="0"/>
  </w:style>
  <w:style w:type="character" w:customStyle="1" w:styleId="123">
    <w:name w:val="ico32"/>
    <w:basedOn w:val="29"/>
    <w:qFormat/>
    <w:uiPriority w:val="0"/>
  </w:style>
  <w:style w:type="character" w:customStyle="1" w:styleId="124">
    <w:name w:val="ico33"/>
    <w:basedOn w:val="29"/>
    <w:qFormat/>
    <w:uiPriority w:val="0"/>
  </w:style>
  <w:style w:type="character" w:customStyle="1" w:styleId="125">
    <w:name w:val="ico34"/>
    <w:basedOn w:val="29"/>
    <w:qFormat/>
    <w:uiPriority w:val="0"/>
  </w:style>
  <w:style w:type="character" w:customStyle="1" w:styleId="126">
    <w:name w:val="ico35"/>
    <w:basedOn w:val="29"/>
    <w:qFormat/>
    <w:uiPriority w:val="0"/>
  </w:style>
  <w:style w:type="character" w:customStyle="1" w:styleId="127">
    <w:name w:val="ico36"/>
    <w:basedOn w:val="29"/>
    <w:qFormat/>
    <w:uiPriority w:val="0"/>
  </w:style>
  <w:style w:type="character" w:customStyle="1" w:styleId="128">
    <w:name w:val="ico37"/>
    <w:basedOn w:val="29"/>
    <w:qFormat/>
    <w:uiPriority w:val="0"/>
  </w:style>
  <w:style w:type="character" w:customStyle="1" w:styleId="129">
    <w:name w:val="ico38"/>
    <w:basedOn w:val="29"/>
    <w:qFormat/>
    <w:uiPriority w:val="0"/>
  </w:style>
  <w:style w:type="character" w:customStyle="1" w:styleId="130">
    <w:name w:val="ico1"/>
    <w:basedOn w:val="29"/>
    <w:qFormat/>
    <w:uiPriority w:val="0"/>
  </w:style>
  <w:style w:type="character" w:customStyle="1" w:styleId="131">
    <w:name w:val="ico11"/>
    <w:basedOn w:val="29"/>
    <w:qFormat/>
    <w:uiPriority w:val="0"/>
  </w:style>
  <w:style w:type="character" w:customStyle="1" w:styleId="132">
    <w:name w:val="ico12"/>
    <w:basedOn w:val="29"/>
    <w:qFormat/>
    <w:uiPriority w:val="0"/>
  </w:style>
  <w:style w:type="character" w:customStyle="1" w:styleId="133">
    <w:name w:val="ico13"/>
    <w:basedOn w:val="29"/>
    <w:qFormat/>
    <w:uiPriority w:val="0"/>
  </w:style>
  <w:style w:type="character" w:customStyle="1" w:styleId="134">
    <w:name w:val="ico14"/>
    <w:basedOn w:val="29"/>
    <w:qFormat/>
    <w:uiPriority w:val="0"/>
  </w:style>
  <w:style w:type="character" w:customStyle="1" w:styleId="135">
    <w:name w:val="ico15"/>
    <w:basedOn w:val="29"/>
    <w:qFormat/>
    <w:uiPriority w:val="0"/>
  </w:style>
  <w:style w:type="character" w:customStyle="1" w:styleId="136">
    <w:name w:val="ico16"/>
    <w:basedOn w:val="29"/>
    <w:qFormat/>
    <w:uiPriority w:val="0"/>
  </w:style>
  <w:style w:type="character" w:customStyle="1" w:styleId="137">
    <w:name w:val="ico17"/>
    <w:basedOn w:val="29"/>
    <w:qFormat/>
    <w:uiPriority w:val="0"/>
  </w:style>
  <w:style w:type="character" w:customStyle="1" w:styleId="138">
    <w:name w:val="ico18"/>
    <w:basedOn w:val="29"/>
    <w:qFormat/>
    <w:uiPriority w:val="0"/>
  </w:style>
  <w:style w:type="character" w:customStyle="1" w:styleId="139">
    <w:name w:val="ico19"/>
    <w:basedOn w:val="29"/>
    <w:qFormat/>
    <w:uiPriority w:val="0"/>
  </w:style>
  <w:style w:type="character" w:customStyle="1" w:styleId="140">
    <w:name w:val="ico2"/>
    <w:basedOn w:val="29"/>
    <w:qFormat/>
    <w:uiPriority w:val="0"/>
  </w:style>
  <w:style w:type="character" w:customStyle="1" w:styleId="141">
    <w:name w:val="ico21"/>
    <w:basedOn w:val="29"/>
    <w:qFormat/>
    <w:uiPriority w:val="0"/>
  </w:style>
  <w:style w:type="character" w:customStyle="1" w:styleId="142">
    <w:name w:val="ico22"/>
    <w:basedOn w:val="29"/>
    <w:qFormat/>
    <w:uiPriority w:val="0"/>
  </w:style>
  <w:style w:type="character" w:customStyle="1" w:styleId="143">
    <w:name w:val="ico23"/>
    <w:basedOn w:val="29"/>
    <w:qFormat/>
    <w:uiPriority w:val="0"/>
  </w:style>
  <w:style w:type="character" w:customStyle="1" w:styleId="144">
    <w:name w:val="ico24"/>
    <w:basedOn w:val="29"/>
    <w:qFormat/>
    <w:uiPriority w:val="0"/>
  </w:style>
  <w:style w:type="character" w:customStyle="1" w:styleId="145">
    <w:name w:val="ico25"/>
    <w:basedOn w:val="29"/>
    <w:qFormat/>
    <w:uiPriority w:val="0"/>
  </w:style>
  <w:style w:type="character" w:customStyle="1" w:styleId="146">
    <w:name w:val="ico26"/>
    <w:basedOn w:val="29"/>
    <w:qFormat/>
    <w:uiPriority w:val="0"/>
  </w:style>
  <w:style w:type="character" w:customStyle="1" w:styleId="147">
    <w:name w:val="ico27"/>
    <w:basedOn w:val="29"/>
    <w:qFormat/>
    <w:uiPriority w:val="0"/>
  </w:style>
  <w:style w:type="character" w:customStyle="1" w:styleId="148">
    <w:name w:val="ico28"/>
    <w:basedOn w:val="29"/>
    <w:qFormat/>
    <w:uiPriority w:val="0"/>
  </w:style>
  <w:style w:type="character" w:customStyle="1" w:styleId="149">
    <w:name w:val="ico29"/>
    <w:basedOn w:val="29"/>
    <w:qFormat/>
    <w:uiPriority w:val="0"/>
  </w:style>
  <w:style w:type="character" w:customStyle="1" w:styleId="150">
    <w:name w:val="ico4"/>
    <w:basedOn w:val="29"/>
    <w:qFormat/>
    <w:uiPriority w:val="0"/>
  </w:style>
  <w:style w:type="character" w:customStyle="1" w:styleId="151">
    <w:name w:val="ico41"/>
    <w:basedOn w:val="29"/>
    <w:qFormat/>
    <w:uiPriority w:val="0"/>
  </w:style>
  <w:style w:type="character" w:customStyle="1" w:styleId="152">
    <w:name w:val="ico42"/>
    <w:basedOn w:val="29"/>
    <w:qFormat/>
    <w:uiPriority w:val="0"/>
  </w:style>
  <w:style w:type="character" w:customStyle="1" w:styleId="153">
    <w:name w:val="ico43"/>
    <w:basedOn w:val="29"/>
    <w:qFormat/>
    <w:uiPriority w:val="0"/>
  </w:style>
  <w:style w:type="character" w:customStyle="1" w:styleId="154">
    <w:name w:val="ico44"/>
    <w:basedOn w:val="29"/>
    <w:qFormat/>
    <w:uiPriority w:val="0"/>
  </w:style>
  <w:style w:type="character" w:customStyle="1" w:styleId="155">
    <w:name w:val="ico45"/>
    <w:basedOn w:val="29"/>
    <w:qFormat/>
    <w:uiPriority w:val="0"/>
  </w:style>
  <w:style w:type="character" w:customStyle="1" w:styleId="156">
    <w:name w:val="ico46"/>
    <w:basedOn w:val="29"/>
    <w:qFormat/>
    <w:uiPriority w:val="0"/>
  </w:style>
  <w:style w:type="character" w:customStyle="1" w:styleId="157">
    <w:name w:val="ico6"/>
    <w:basedOn w:val="29"/>
    <w:qFormat/>
    <w:uiPriority w:val="0"/>
  </w:style>
  <w:style w:type="character" w:customStyle="1" w:styleId="158">
    <w:name w:val="ico61"/>
    <w:basedOn w:val="29"/>
    <w:qFormat/>
    <w:uiPriority w:val="0"/>
  </w:style>
  <w:style w:type="character" w:customStyle="1" w:styleId="159">
    <w:name w:val="ico62"/>
    <w:basedOn w:val="29"/>
    <w:qFormat/>
    <w:uiPriority w:val="0"/>
  </w:style>
  <w:style w:type="character" w:customStyle="1" w:styleId="160">
    <w:name w:val="ico63"/>
    <w:basedOn w:val="29"/>
    <w:qFormat/>
    <w:uiPriority w:val="0"/>
  </w:style>
  <w:style w:type="character" w:customStyle="1" w:styleId="161">
    <w:name w:val="ico64"/>
    <w:basedOn w:val="29"/>
    <w:qFormat/>
    <w:uiPriority w:val="0"/>
  </w:style>
  <w:style w:type="character" w:customStyle="1" w:styleId="162">
    <w:name w:val="ico65"/>
    <w:basedOn w:val="29"/>
    <w:qFormat/>
    <w:uiPriority w:val="0"/>
  </w:style>
  <w:style w:type="character" w:customStyle="1" w:styleId="163">
    <w:name w:val="ico66"/>
    <w:basedOn w:val="29"/>
    <w:qFormat/>
    <w:uiPriority w:val="0"/>
  </w:style>
  <w:style w:type="character" w:customStyle="1" w:styleId="164">
    <w:name w:val="ico8"/>
    <w:basedOn w:val="29"/>
    <w:qFormat/>
    <w:uiPriority w:val="0"/>
  </w:style>
  <w:style w:type="character" w:customStyle="1" w:styleId="165">
    <w:name w:val="ico81"/>
    <w:basedOn w:val="29"/>
    <w:qFormat/>
    <w:uiPriority w:val="0"/>
  </w:style>
  <w:style w:type="character" w:customStyle="1" w:styleId="166">
    <w:name w:val="ico82"/>
    <w:basedOn w:val="29"/>
    <w:qFormat/>
    <w:uiPriority w:val="0"/>
  </w:style>
  <w:style w:type="character" w:customStyle="1" w:styleId="167">
    <w:name w:val="ico83"/>
    <w:basedOn w:val="29"/>
    <w:qFormat/>
    <w:uiPriority w:val="0"/>
  </w:style>
  <w:style w:type="character" w:customStyle="1" w:styleId="168">
    <w:name w:val="zmhd-time"/>
    <w:basedOn w:val="29"/>
    <w:qFormat/>
    <w:uiPriority w:val="0"/>
  </w:style>
  <w:style w:type="character" w:customStyle="1" w:styleId="169">
    <w:name w:val="ico10"/>
    <w:basedOn w:val="29"/>
    <w:qFormat/>
    <w:uiPriority w:val="0"/>
  </w:style>
  <w:style w:type="character" w:customStyle="1" w:styleId="170">
    <w:name w:val="zmhdzjz"/>
    <w:basedOn w:val="29"/>
    <w:qFormat/>
    <w:uiPriority w:val="0"/>
    <w:rPr>
      <w:shd w:val="clear" w:fill="C32B31"/>
    </w:rPr>
  </w:style>
  <w:style w:type="character" w:customStyle="1" w:styleId="171">
    <w:name w:val="ico9"/>
    <w:basedOn w:val="29"/>
    <w:qFormat/>
    <w:uiPriority w:val="0"/>
  </w:style>
  <w:style w:type="character" w:customStyle="1" w:styleId="172">
    <w:name w:val="ico111"/>
    <w:basedOn w:val="29"/>
    <w:qFormat/>
    <w:uiPriority w:val="0"/>
  </w:style>
  <w:style w:type="character" w:customStyle="1" w:styleId="173">
    <w:name w:val="ico121"/>
    <w:basedOn w:val="29"/>
    <w:qFormat/>
    <w:uiPriority w:val="0"/>
  </w:style>
  <w:style w:type="character" w:customStyle="1" w:styleId="174">
    <w:name w:val="txt"/>
    <w:basedOn w:val="29"/>
    <w:qFormat/>
    <w:uiPriority w:val="0"/>
    <w:rPr>
      <w:sz w:val="21"/>
      <w:szCs w:val="21"/>
      <w:bdr w:val="single" w:color="EBEBEB" w:sz="6" w:space="0"/>
      <w:shd w:val="clear" w:fill="F9F9F9"/>
    </w:rPr>
  </w:style>
  <w:style w:type="character" w:customStyle="1" w:styleId="175">
    <w:name w:val="pic"/>
    <w:basedOn w:val="29"/>
    <w:qFormat/>
    <w:uiPriority w:val="0"/>
    <w:rPr>
      <w:shd w:val="clear" w:fill="EBEBEB"/>
    </w:rPr>
  </w:style>
  <w:style w:type="character" w:customStyle="1" w:styleId="176">
    <w:name w:val="标题 1 Char"/>
    <w:link w:val="3"/>
    <w:qFormat/>
    <w:uiPriority w:val="99"/>
    <w:rPr>
      <w:rFonts w:eastAsia="黑体"/>
      <w:b/>
      <w:bCs/>
      <w:color w:val="000000"/>
      <w:kern w:val="44"/>
      <w:sz w:val="30"/>
      <w:szCs w:val="30"/>
    </w:rPr>
  </w:style>
  <w:style w:type="paragraph" w:customStyle="1" w:styleId="177">
    <w:name w:val="05F凡式正文"/>
    <w:basedOn w:val="1"/>
    <w:qFormat/>
    <w:uiPriority w:val="0"/>
    <w:pPr>
      <w:spacing w:line="360" w:lineRule="auto"/>
      <w:ind w:firstLine="720" w:firstLineChars="200"/>
    </w:pPr>
    <w:rPr>
      <w:kern w:val="0"/>
      <w:sz w:val="24"/>
      <w:szCs w:val="20"/>
    </w:rPr>
  </w:style>
  <w:style w:type="paragraph" w:customStyle="1" w:styleId="178">
    <w:name w:val="R22四级"/>
    <w:basedOn w:val="179"/>
    <w:qFormat/>
    <w:uiPriority w:val="0"/>
    <w:pPr>
      <w:outlineLvl w:val="3"/>
    </w:pPr>
    <w:rPr>
      <w:rFonts w:cs="Arial"/>
    </w:rPr>
  </w:style>
  <w:style w:type="paragraph" w:customStyle="1" w:styleId="179">
    <w:name w:val="R22三级"/>
    <w:basedOn w:val="1"/>
    <w:qFormat/>
    <w:uiPriority w:val="0"/>
    <w:pPr>
      <w:autoSpaceDE w:val="0"/>
      <w:autoSpaceDN w:val="0"/>
      <w:adjustRightInd w:val="0"/>
      <w:ind w:firstLine="0"/>
      <w:outlineLvl w:val="2"/>
    </w:pPr>
    <w:rPr>
      <w:rFonts w:eastAsia="黑体"/>
      <w:color w:val="000000"/>
      <w:kern w:val="0"/>
    </w:rPr>
  </w:style>
  <w:style w:type="paragraph" w:customStyle="1" w:styleId="180">
    <w:name w:val="报告书正文"/>
    <w:basedOn w:val="1"/>
    <w:qFormat/>
    <w:uiPriority w:val="0"/>
    <w:pPr>
      <w:spacing w:line="360" w:lineRule="auto"/>
    </w:pPr>
  </w:style>
  <w:style w:type="paragraph" w:customStyle="1" w:styleId="181">
    <w:name w:val="R22表头"/>
    <w:basedOn w:val="1"/>
    <w:qFormat/>
    <w:uiPriority w:val="0"/>
    <w:pPr>
      <w:autoSpaceDE w:val="0"/>
      <w:autoSpaceDN w:val="0"/>
      <w:adjustRightInd w:val="0"/>
      <w:spacing w:line="240" w:lineRule="auto"/>
      <w:ind w:firstLine="0"/>
    </w:pPr>
    <w:rPr>
      <w:rFonts w:hAnsi="宋体" w:eastAsia="黑体" w:cs="宋体"/>
      <w:color w:val="000000"/>
      <w:kern w:val="0"/>
    </w:rPr>
  </w:style>
  <w:style w:type="paragraph" w:customStyle="1" w:styleId="182">
    <w:name w:val="R22表格"/>
    <w:basedOn w:val="1"/>
    <w:qFormat/>
    <w:uiPriority w:val="0"/>
    <w:pPr>
      <w:autoSpaceDE w:val="0"/>
      <w:autoSpaceDN w:val="0"/>
      <w:adjustRightInd w:val="0"/>
      <w:spacing w:line="360" w:lineRule="exact"/>
      <w:ind w:firstLine="0"/>
      <w:jc w:val="center"/>
    </w:pPr>
    <w:rPr>
      <w:color w:val="000000"/>
      <w:kern w:val="0"/>
      <w:sz w:val="21"/>
      <w:szCs w:val="21"/>
    </w:rPr>
  </w:style>
  <w:style w:type="table" w:customStyle="1" w:styleId="183">
    <w:name w:val="表格样式1"/>
    <w:basedOn w:val="27"/>
    <w:qFormat/>
    <w:uiPriority w:val="0"/>
    <w:pPr>
      <w:widowControl w:val="0"/>
      <w:spacing w:line="360" w:lineRule="exact"/>
      <w:jc w:val="center"/>
    </w:pPr>
    <w:tblPr>
      <w:tblBorders>
        <w:top w:val="single" w:color="000000" w:sz="12" w:space="0"/>
        <w:bottom w:val="single" w:color="000000" w:sz="12" w:space="0"/>
        <w:insideH w:val="single" w:color="auto" w:sz="4" w:space="0"/>
        <w:insideV w:val="single" w:color="auto" w:sz="4" w:space="0"/>
      </w:tblBorders>
    </w:tblPr>
    <w:tcPr>
      <w:vAlign w:val="center"/>
    </w:tcPr>
  </w:style>
  <w:style w:type="paragraph" w:customStyle="1" w:styleId="184">
    <w:name w:val="Body Text 2"/>
    <w:basedOn w:val="1"/>
    <w:qFormat/>
    <w:uiPriority w:val="0"/>
    <w:pPr>
      <w:jc w:val="center"/>
    </w:pPr>
    <w:rPr>
      <w:sz w:val="24"/>
    </w:rPr>
  </w:style>
  <w:style w:type="table" w:customStyle="1" w:styleId="185">
    <w:name w:val="Table Normal"/>
    <w:unhideWhenUsed/>
    <w:qFormat/>
    <w:uiPriority w:val="0"/>
    <w:tblPr>
      <w:tblCellMar>
        <w:top w:w="0" w:type="dxa"/>
        <w:left w:w="0" w:type="dxa"/>
        <w:bottom w:w="0" w:type="dxa"/>
        <w:right w:w="0" w:type="dxa"/>
      </w:tblCellMar>
    </w:tblPr>
  </w:style>
  <w:style w:type="paragraph" w:customStyle="1" w:styleId="186">
    <w:name w:val="WPSOffice手动目录 1"/>
    <w:qFormat/>
    <w:uiPriority w:val="0"/>
    <w:pPr>
      <w:ind w:leftChars="0"/>
    </w:pPr>
    <w:rPr>
      <w:rFonts w:ascii="Times New Roman" w:hAnsi="Times New Roman" w:eastAsia="宋体" w:cs="Times New Roman"/>
      <w:sz w:val="20"/>
      <w:szCs w:val="20"/>
    </w:rPr>
  </w:style>
  <w:style w:type="paragraph" w:customStyle="1" w:styleId="18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jpe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footer" Target="foot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emf"/><Relationship Id="rId16" Type="http://schemas.openxmlformats.org/officeDocument/2006/relationships/oleObject" Target="embeddings/oleObject4.bin"/><Relationship Id="rId15" Type="http://schemas.openxmlformats.org/officeDocument/2006/relationships/image" Target="media/image5.emf"/><Relationship Id="rId14" Type="http://schemas.openxmlformats.org/officeDocument/2006/relationships/oleObject" Target="embeddings/oleObject3.bin"/><Relationship Id="rId13" Type="http://schemas.openxmlformats.org/officeDocument/2006/relationships/image" Target="media/image4.emf"/><Relationship Id="rId12" Type="http://schemas.openxmlformats.org/officeDocument/2006/relationships/oleObject" Target="embeddings/oleObject2.bin"/><Relationship Id="rId11" Type="http://schemas.openxmlformats.org/officeDocument/2006/relationships/image" Target="media/image3.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35648</Words>
  <Characters>40138</Characters>
  <Lines>0</Lines>
  <Paragraphs>0</Paragraphs>
  <TotalTime>26</TotalTime>
  <ScaleCrop>false</ScaleCrop>
  <LinksUpToDate>false</LinksUpToDate>
  <CharactersWithSpaces>40439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2021-08-18T02:38:00Z</dcterms:created>
  <dc:creator> YK</dc:creator>
  <cp:lastModifiedBy>Administrator</cp:lastModifiedBy>
  <dcterms:modified xsi:type="dcterms:W3CDTF">2023-06-15T06:27:48Z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CDF1C9A2E95A4FE999187628599B59D5_13</vt:lpwstr>
  </property>
</Properties>
</file>