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宋体" w:hAnsi="宋体" w:cs="宋体"/>
          <w:b/>
          <w:bCs/>
          <w:sz w:val="32"/>
          <w:szCs w:val="28"/>
        </w:rPr>
      </w:pPr>
      <w:r>
        <w:rPr>
          <w:rFonts w:hint="eastAsia" w:ascii="宋体" w:hAnsi="宋体" w:cs="宋体"/>
          <w:sz w:val="32"/>
          <w:szCs w:val="28"/>
        </w:rPr>
        <w:t>附件4-1</w:t>
      </w:r>
    </w:p>
    <w:p>
      <w:pPr>
        <w:spacing w:line="578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578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项目支出绩效评价报告</w:t>
      </w:r>
    </w:p>
    <w:p>
      <w:pPr>
        <w:spacing w:line="578" w:lineRule="exact"/>
        <w:rPr>
          <w:rFonts w:hint="eastAsia" w:ascii="仿宋" w:hAnsi="仿宋" w:eastAsia="仿宋"/>
          <w:szCs w:val="32"/>
        </w:rPr>
      </w:pPr>
    </w:p>
    <w:p>
      <w:pPr>
        <w:spacing w:line="578" w:lineRule="exact"/>
        <w:rPr>
          <w:rFonts w:hint="eastAsia" w:ascii="仿宋" w:hAnsi="仿宋" w:eastAsia="仿宋"/>
          <w:szCs w:val="32"/>
        </w:rPr>
      </w:pPr>
    </w:p>
    <w:p>
      <w:pPr>
        <w:spacing w:line="578" w:lineRule="exact"/>
        <w:rPr>
          <w:rFonts w:hint="eastAsia" w:ascii="仿宋" w:hAnsi="仿宋" w:eastAsia="仿宋"/>
          <w:szCs w:val="32"/>
        </w:rPr>
      </w:pPr>
    </w:p>
    <w:p>
      <w:pPr>
        <w:spacing w:line="578" w:lineRule="exact"/>
        <w:rPr>
          <w:rFonts w:hint="eastAsia" w:ascii="仿宋" w:hAnsi="仿宋" w:eastAsia="仿宋"/>
          <w:szCs w:val="32"/>
        </w:rPr>
      </w:pPr>
    </w:p>
    <w:p>
      <w:pPr>
        <w:spacing w:line="578" w:lineRule="exact"/>
        <w:rPr>
          <w:rFonts w:hint="eastAsia" w:ascii="仿宋" w:hAnsi="仿宋" w:eastAsia="仿宋" w:cs="仿宋"/>
          <w:szCs w:val="32"/>
          <w:u w:val="single"/>
        </w:rPr>
      </w:pPr>
      <w:r>
        <w:rPr>
          <w:rFonts w:hint="eastAsia" w:ascii="仿宋" w:hAnsi="仿宋" w:eastAsia="仿宋" w:cs="仿宋"/>
          <w:szCs w:val="32"/>
        </w:rPr>
        <w:t xml:space="preserve">            评价类型：</w:t>
      </w:r>
      <w:r>
        <w:rPr>
          <w:rFonts w:hint="eastAsia" w:ascii="仿宋" w:hAnsi="仿宋" w:eastAsia="仿宋" w:cs="仿宋"/>
          <w:spacing w:val="-20"/>
          <w:szCs w:val="32"/>
          <w:u w:val="single"/>
          <w:lang w:eastAsia="zh-CN"/>
        </w:rPr>
        <w:t>☑</w:t>
      </w:r>
      <w:r>
        <w:rPr>
          <w:rFonts w:hint="eastAsia" w:ascii="仿宋" w:hAnsi="仿宋" w:eastAsia="仿宋" w:cs="仿宋"/>
          <w:szCs w:val="32"/>
          <w:u w:val="single"/>
        </w:rPr>
        <w:t>实施过程评价</w:t>
      </w:r>
      <w:r>
        <w:rPr>
          <w:rFonts w:hint="eastAsia" w:ascii="仿宋" w:hAnsi="仿宋" w:eastAsia="仿宋" w:cs="仿宋"/>
          <w:szCs w:val="32"/>
        </w:rPr>
        <w:t xml:space="preserve">      </w:t>
      </w:r>
      <w:r>
        <w:rPr>
          <w:rFonts w:hint="eastAsia" w:ascii="仿宋" w:hAnsi="仿宋" w:eastAsia="仿宋" w:cs="仿宋"/>
          <w:spacing w:val="-20"/>
          <w:szCs w:val="32"/>
          <w:u w:val="single"/>
          <w:lang w:eastAsia="zh-CN"/>
        </w:rPr>
        <w:t>☑</w:t>
      </w:r>
      <w:r>
        <w:rPr>
          <w:rFonts w:hint="eastAsia" w:ascii="仿宋" w:hAnsi="仿宋" w:eastAsia="仿宋" w:cs="仿宋"/>
          <w:szCs w:val="32"/>
          <w:u w:val="single"/>
        </w:rPr>
        <w:t>完成结果评价</w:t>
      </w:r>
    </w:p>
    <w:p>
      <w:pPr>
        <w:spacing w:line="578" w:lineRule="exact"/>
        <w:ind w:left="1050" w:hanging="1050" w:hangingChars="500"/>
        <w:rPr>
          <w:rFonts w:hint="eastAsia" w:ascii="仿宋" w:hAnsi="仿宋" w:eastAsia="仿宋" w:cs="仿宋"/>
          <w:szCs w:val="32"/>
          <w:u w:val="single"/>
        </w:rPr>
      </w:pPr>
      <w:r>
        <w:rPr>
          <w:rFonts w:hint="eastAsia" w:ascii="仿宋" w:hAnsi="仿宋" w:eastAsia="仿宋" w:cs="仿宋"/>
          <w:szCs w:val="32"/>
        </w:rPr>
        <w:t xml:space="preserve">           项目名称： </w:t>
      </w:r>
      <w:r>
        <w:rPr>
          <w:rFonts w:hint="eastAsia" w:ascii="仿宋" w:hAnsi="仿宋" w:eastAsia="仿宋" w:cs="仿宋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>开发区返乡创业示范基地一期建设ppp项目、农村道路建设资金</w:t>
      </w:r>
      <w:r>
        <w:rPr>
          <w:rFonts w:hint="eastAsia" w:ascii="仿宋" w:hAnsi="仿宋" w:eastAsia="仿宋" w:cs="仿宋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Cs w:val="32"/>
          <w:u w:val="single"/>
          <w:lang w:eastAsia="zh-CN"/>
        </w:rPr>
        <w:t>、建设交通人防业务经费等</w:t>
      </w:r>
      <w:r>
        <w:rPr>
          <w:rFonts w:hint="eastAsia" w:ascii="仿宋" w:hAnsi="仿宋" w:eastAsia="仿宋" w:cs="仿宋"/>
          <w:szCs w:val="32"/>
          <w:u w:val="single"/>
        </w:rPr>
        <w:t xml:space="preserve">                            </w:t>
      </w:r>
    </w:p>
    <w:p>
      <w:pPr>
        <w:spacing w:line="578" w:lineRule="exact"/>
        <w:ind w:left="1050" w:hanging="1050" w:hangingChars="500"/>
        <w:rPr>
          <w:rFonts w:hint="eastAsia" w:ascii="仿宋" w:hAnsi="仿宋" w:eastAsia="仿宋" w:cs="仿宋"/>
          <w:szCs w:val="32"/>
          <w:u w:val="single"/>
        </w:rPr>
      </w:pPr>
      <w:r>
        <w:rPr>
          <w:rFonts w:hint="eastAsia" w:ascii="仿宋" w:hAnsi="仿宋" w:eastAsia="仿宋" w:cs="仿宋"/>
          <w:szCs w:val="32"/>
        </w:rPr>
        <w:t xml:space="preserve">           项目单位</w:t>
      </w:r>
      <w:r>
        <w:rPr>
          <w:rFonts w:hint="eastAsia" w:ascii="仿宋" w:hAnsi="仿宋" w:eastAsia="仿宋" w:cs="仿宋"/>
          <w:szCs w:val="32"/>
          <w:lang w:val="en-US" w:eastAsia="zh-CN"/>
        </w:rPr>
        <w:t xml:space="preserve"> ：</w:t>
      </w:r>
      <w:r>
        <w:rPr>
          <w:rFonts w:hint="eastAsia" w:ascii="仿宋" w:hAnsi="仿宋" w:eastAsia="仿宋" w:cs="仿宋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董团乡、兴园办 、徬罗办事处、江西云济投资有限公司等               </w:t>
      </w:r>
      <w:r>
        <w:rPr>
          <w:rFonts w:hint="eastAsia" w:ascii="仿宋" w:hAnsi="仿宋" w:eastAsia="仿宋" w:cs="仿宋"/>
          <w:szCs w:val="32"/>
          <w:u w:val="single"/>
        </w:rPr>
        <w:t xml:space="preserve"> </w:t>
      </w:r>
    </w:p>
    <w:p>
      <w:pPr>
        <w:spacing w:line="578" w:lineRule="exact"/>
        <w:ind w:left="1050" w:hanging="1050" w:hangingChars="5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主管部门： </w:t>
      </w:r>
      <w:r>
        <w:rPr>
          <w:rFonts w:hint="eastAsia" w:ascii="仿宋" w:hAnsi="仿宋" w:eastAsia="仿宋" w:cs="仿宋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           上饶经济技术开发区建设交通局                 </w:t>
      </w:r>
      <w:r>
        <w:rPr>
          <w:rFonts w:hint="eastAsia" w:ascii="仿宋" w:hAnsi="仿宋" w:eastAsia="仿宋" w:cs="仿宋"/>
          <w:szCs w:val="32"/>
          <w:u w:val="single"/>
          <w:lang w:eastAsia="zh-CN"/>
        </w:rPr>
        <w:t xml:space="preserve">   </w:t>
      </w:r>
    </w:p>
    <w:p>
      <w:pPr>
        <w:spacing w:line="578" w:lineRule="exact"/>
        <w:ind w:left="1050" w:hanging="1050" w:hangingChars="5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评价时间： </w:t>
      </w:r>
      <w:r>
        <w:rPr>
          <w:rFonts w:hint="eastAsia" w:ascii="仿宋" w:hAnsi="仿宋" w:eastAsia="仿宋" w:cs="仿宋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>2021</w:t>
      </w:r>
      <w:r>
        <w:rPr>
          <w:rFonts w:hint="eastAsia" w:ascii="仿宋" w:hAnsi="仿宋" w:eastAsia="仿宋" w:cs="仿宋"/>
          <w:szCs w:val="32"/>
          <w:u w:val="single"/>
        </w:rPr>
        <w:t xml:space="preserve"> 年 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szCs w:val="32"/>
          <w:u w:val="single"/>
        </w:rPr>
        <w:t xml:space="preserve"> 月 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szCs w:val="32"/>
          <w:u w:val="single"/>
        </w:rPr>
        <w:t xml:space="preserve"> 日至  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>2021</w:t>
      </w:r>
      <w:r>
        <w:rPr>
          <w:rFonts w:hint="eastAsia" w:ascii="仿宋" w:hAnsi="仿宋" w:eastAsia="仿宋" w:cs="仿宋"/>
          <w:szCs w:val="32"/>
          <w:u w:val="single"/>
        </w:rPr>
        <w:t xml:space="preserve">年 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>12</w:t>
      </w:r>
      <w:r>
        <w:rPr>
          <w:rFonts w:hint="eastAsia" w:ascii="仿宋" w:hAnsi="仿宋" w:eastAsia="仿宋" w:cs="仿宋"/>
          <w:szCs w:val="32"/>
          <w:u w:val="single"/>
        </w:rPr>
        <w:t xml:space="preserve"> 月 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>31</w:t>
      </w:r>
      <w:r>
        <w:rPr>
          <w:rFonts w:hint="eastAsia" w:ascii="仿宋" w:hAnsi="仿宋" w:eastAsia="仿宋" w:cs="仿宋"/>
          <w:szCs w:val="32"/>
          <w:u w:val="single"/>
        </w:rPr>
        <w:t xml:space="preserve"> 日</w:t>
      </w:r>
    </w:p>
    <w:p>
      <w:pPr>
        <w:spacing w:line="578" w:lineRule="exact"/>
        <w:ind w:left="1050" w:hanging="1050" w:hangingChars="500"/>
        <w:rPr>
          <w:rFonts w:hint="eastAsia" w:ascii="仿宋" w:hAnsi="仿宋" w:eastAsia="仿宋" w:cs="仿宋"/>
          <w:szCs w:val="32"/>
          <w:u w:val="single"/>
        </w:rPr>
      </w:pPr>
      <w:r>
        <w:rPr>
          <w:rFonts w:hint="eastAsia" w:ascii="仿宋" w:hAnsi="仿宋" w:eastAsia="仿宋" w:cs="仿宋"/>
          <w:szCs w:val="32"/>
        </w:rPr>
        <w:t xml:space="preserve">           组织方式：</w:t>
      </w:r>
      <w:r>
        <w:rPr>
          <w:rFonts w:hint="eastAsia" w:ascii="仿宋" w:hAnsi="仿宋" w:eastAsia="仿宋" w:cs="仿宋"/>
          <w:spacing w:val="-20"/>
          <w:szCs w:val="32"/>
          <w:u w:val="single"/>
        </w:rPr>
        <w:t>□</w:t>
      </w:r>
      <w:r>
        <w:rPr>
          <w:rFonts w:hint="eastAsia" w:ascii="仿宋" w:hAnsi="仿宋" w:eastAsia="仿宋" w:cs="仿宋"/>
          <w:szCs w:val="32"/>
          <w:u w:val="single"/>
        </w:rPr>
        <w:t xml:space="preserve">财政部门 </w:t>
      </w:r>
      <w:r>
        <w:rPr>
          <w:rFonts w:hint="eastAsia" w:ascii="仿宋" w:hAnsi="仿宋" w:eastAsia="仿宋" w:cs="仿宋"/>
          <w:szCs w:val="32"/>
        </w:rPr>
        <w:t xml:space="preserve">    </w:t>
      </w:r>
      <w:r>
        <w:rPr>
          <w:rFonts w:hint="eastAsia" w:ascii="仿宋" w:hAnsi="仿宋" w:eastAsia="仿宋" w:cs="仿宋"/>
          <w:spacing w:val="-20"/>
          <w:szCs w:val="32"/>
          <w:u w:val="single"/>
        </w:rPr>
        <w:sym w:font="Wingdings" w:char="00A8"/>
      </w:r>
      <w:r>
        <w:rPr>
          <w:rFonts w:hint="eastAsia" w:ascii="仿宋" w:hAnsi="仿宋" w:eastAsia="仿宋" w:cs="仿宋"/>
          <w:szCs w:val="32"/>
          <w:u w:val="single"/>
        </w:rPr>
        <w:t>主管部门</w:t>
      </w:r>
      <w:r>
        <w:rPr>
          <w:rFonts w:hint="eastAsia" w:ascii="仿宋" w:hAnsi="仿宋" w:eastAsia="仿宋" w:cs="仿宋"/>
          <w:szCs w:val="32"/>
        </w:rPr>
        <w:t xml:space="preserve">     </w:t>
      </w:r>
      <w:r>
        <w:rPr>
          <w:rFonts w:hint="eastAsia" w:ascii="仿宋" w:hAnsi="仿宋" w:eastAsia="仿宋" w:cs="仿宋"/>
          <w:szCs w:val="32"/>
        </w:rPr>
        <w:sym w:font="Wingdings" w:char="00FE"/>
      </w:r>
      <w:r>
        <w:rPr>
          <w:rFonts w:hint="eastAsia" w:ascii="仿宋" w:hAnsi="仿宋" w:eastAsia="仿宋" w:cs="仿宋"/>
          <w:szCs w:val="32"/>
          <w:u w:val="single"/>
        </w:rPr>
        <w:t>项目单位</w:t>
      </w:r>
    </w:p>
    <w:p>
      <w:pPr>
        <w:spacing w:line="578" w:lineRule="exact"/>
        <w:ind w:left="1050" w:hanging="1050" w:hangingChars="5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评价机构：</w:t>
      </w:r>
      <w:r>
        <w:rPr>
          <w:rFonts w:hint="eastAsia" w:ascii="仿宋" w:hAnsi="仿宋" w:eastAsia="仿宋" w:cs="仿宋"/>
          <w:spacing w:val="-20"/>
          <w:szCs w:val="32"/>
          <w:u w:val="single"/>
        </w:rPr>
        <w:t>□</w:t>
      </w:r>
      <w:r>
        <w:rPr>
          <w:rFonts w:hint="eastAsia" w:ascii="仿宋" w:hAnsi="仿宋" w:eastAsia="仿宋" w:cs="仿宋"/>
          <w:szCs w:val="32"/>
          <w:u w:val="single"/>
        </w:rPr>
        <w:t xml:space="preserve">第三方机构 </w:t>
      </w:r>
      <w:r>
        <w:rPr>
          <w:rFonts w:hint="eastAsia" w:ascii="仿宋" w:hAnsi="仿宋" w:eastAsia="仿宋" w:cs="仿宋"/>
          <w:szCs w:val="32"/>
        </w:rPr>
        <w:t xml:space="preserve">  </w:t>
      </w:r>
      <w:r>
        <w:rPr>
          <w:rFonts w:hint="eastAsia" w:ascii="仿宋" w:hAnsi="仿宋" w:eastAsia="仿宋" w:cs="仿宋"/>
          <w:szCs w:val="32"/>
        </w:rPr>
        <w:sym w:font="Wingdings" w:char="00A8"/>
      </w:r>
      <w:r>
        <w:rPr>
          <w:rFonts w:hint="eastAsia" w:ascii="仿宋" w:hAnsi="仿宋" w:eastAsia="仿宋" w:cs="仿宋"/>
          <w:szCs w:val="32"/>
          <w:u w:val="single"/>
        </w:rPr>
        <w:t xml:space="preserve">专家组 </w:t>
      </w:r>
      <w:r>
        <w:rPr>
          <w:rFonts w:hint="eastAsia" w:ascii="仿宋" w:hAnsi="仿宋" w:eastAsia="仿宋" w:cs="仿宋"/>
          <w:szCs w:val="32"/>
        </w:rPr>
        <w:t xml:space="preserve">  </w:t>
      </w:r>
      <w:r>
        <w:rPr>
          <w:rFonts w:hint="eastAsia" w:ascii="仿宋" w:hAnsi="仿宋" w:eastAsia="仿宋" w:cs="仿宋"/>
          <w:spacing w:val="-20"/>
          <w:szCs w:val="32"/>
          <w:u w:val="single"/>
          <w:lang w:eastAsia="zh-CN"/>
        </w:rPr>
        <w:t>☑</w:t>
      </w:r>
      <w:r>
        <w:rPr>
          <w:rFonts w:hint="eastAsia" w:ascii="仿宋" w:hAnsi="仿宋" w:eastAsia="仿宋" w:cs="仿宋"/>
          <w:szCs w:val="32"/>
          <w:u w:val="single"/>
        </w:rPr>
        <w:t>项目单位评价组</w:t>
      </w:r>
    </w:p>
    <w:p>
      <w:pPr>
        <w:spacing w:line="578" w:lineRule="exact"/>
        <w:ind w:left="1050" w:hanging="1050" w:hangingChars="500"/>
        <w:rPr>
          <w:rFonts w:hint="eastAsia" w:ascii="仿宋" w:hAnsi="仿宋" w:eastAsia="仿宋" w:cs="仿宋"/>
          <w:szCs w:val="32"/>
        </w:rPr>
      </w:pPr>
    </w:p>
    <w:p>
      <w:pPr>
        <w:spacing w:line="578" w:lineRule="exact"/>
        <w:rPr>
          <w:rFonts w:hint="eastAsia" w:ascii="仿宋" w:hAnsi="仿宋" w:eastAsia="仿宋" w:cs="仿宋"/>
          <w:szCs w:val="32"/>
        </w:rPr>
      </w:pPr>
    </w:p>
    <w:p>
      <w:pPr>
        <w:spacing w:line="578" w:lineRule="exac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</w:t>
      </w:r>
    </w:p>
    <w:p>
      <w:pPr>
        <w:spacing w:line="578" w:lineRule="exact"/>
        <w:ind w:left="1050" w:hanging="1050" w:hangingChars="500"/>
        <w:rPr>
          <w:rFonts w:hint="eastAsia" w:ascii="仿宋" w:hAnsi="仿宋" w:eastAsia="仿宋" w:cs="仿宋"/>
          <w:szCs w:val="32"/>
        </w:rPr>
      </w:pPr>
    </w:p>
    <w:p>
      <w:pPr>
        <w:spacing w:line="578" w:lineRule="exact"/>
        <w:ind w:left="1050" w:hanging="1050" w:hangingChars="5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  评价单位（盖章）：</w:t>
      </w:r>
    </w:p>
    <w:p>
      <w:pPr>
        <w:spacing w:line="578" w:lineRule="exact"/>
        <w:ind w:left="1050" w:hanging="1050" w:hangingChars="5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         上报时间：</w:t>
      </w:r>
    </w:p>
    <w:p>
      <w:pPr>
        <w:spacing w:line="578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仿宋" w:hAnsi="仿宋" w:eastAsia="仿宋" w:cs="仿宋"/>
          <w:szCs w:val="32"/>
        </w:rPr>
        <w:br w:type="page"/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上饶经开区建设交通局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2021年</w:t>
      </w:r>
      <w:r>
        <w:rPr>
          <w:rFonts w:hint="eastAsia" w:ascii="宋体" w:hAnsi="宋体" w:cs="宋体"/>
          <w:b/>
          <w:bCs/>
          <w:sz w:val="36"/>
          <w:szCs w:val="36"/>
        </w:rPr>
        <w:t>项目支出绩效评价报告</w:t>
      </w:r>
    </w:p>
    <w:p>
      <w:pPr>
        <w:numPr>
          <w:ilvl w:val="0"/>
          <w:numId w:val="0"/>
        </w:numPr>
        <w:spacing w:line="240" w:lineRule="auto"/>
        <w:rPr>
          <w:rFonts w:hint="eastAsia" w:ascii="宋体" w:hAnsi="宋体" w:cs="宋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项目概况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（一）项目</w:t>
      </w:r>
      <w:r>
        <w:rPr>
          <w:rFonts w:hint="eastAsia" w:ascii="宋体" w:hAnsi="宋体" w:eastAsia="宋体" w:cs="宋体"/>
          <w:sz w:val="28"/>
          <w:szCs w:val="28"/>
        </w:rPr>
        <w:t>基本情况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2" w:firstLineChars="200"/>
        <w:jc w:val="left"/>
        <w:rPr>
          <w:rFonts w:hint="default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开发区返乡创业示范基地一期建设ppp项目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：为了推进返乡创业就业，促进脱贫攻坚，完善基础设施，打造充满活力的返乡创业就业生态系统，提高上饶经济技术开发区城市整体形象，依据上饶经济技术开发区管理委员会和社会资本合作（PPP）推介项目计划，对上饶经济技术开发区返乡创业示范基地一期建设项目采取 PPP 模式吸进社会资本参与项目的投资、建设及项目运营期内的管理，充分发挥政府和社会资本的各自优势，降低政府直接投资压力，提高基础设施公共服务质量和效率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spacing w:line="600" w:lineRule="exact"/>
        <w:ind w:firstLine="562" w:firstLineChars="200"/>
        <w:outlineLvl w:val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农村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道路建设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资金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为加快农村公路建设步伐，构建便捷、通畅、高效、安全的农村公路交通网络，推进我区农村公路建、管、养、运、协调可持续发展，2018年，上饶经济技术开发区印发了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《上饶经济技术开发区推进“四好农村路”建设实施方案》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（饶开管办字〔2018〕1 号）。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科学合理制定小修保养计划，按需实施大中修工程。每年县道大中修工程规模力争达到养护里程的8%；乡、村道大中修工程规模力争达到养护里程的 3%。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建设交通人防业务经费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抓好在建工程安全生产工作，提升工程领域管理水平，加大招投标监管力度，创新监管机制，做好消防审批管理工作，落实民生工程，提升城乡交通环境，以高质量跨越式发展为总要求，住房、城乡建设、交通等各项事业发展上新台阶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两站一所“工作经费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：为保障农村公路管理机构工作开展，设立经开区农村公路管理站、经开区交通工程质量安全监督管理站和乡（办）农村公路管理养护所。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2021年保障性安居工程（第二批）中央基建投资预算（拨款）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：该资金为上饶经开区棚户区改造补助资金，有力保障了棚户区改造和保障性住房顺利实施。根据统计，上饶经济技术开发区改造的棚户区建筑面积约为1112457平方米，涉及改造户数约7308套：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、上饶经开区光伏产业园安置小区建设项目：2021年国家棚户区改造计划任务885户，建筑面积67446平方米，配套基础设施建设投资2800万元，其中：道路及停车场工程20000平方米、给排水工程6510米，绿化工程6851平方米、围墙及大门工程320米，燃气工程220米，供电工程530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jc w:val="both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2、</w:t>
      </w:r>
      <w:r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  <w:t>上饶经开区蓝江小区A区项目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2021年国家棚户区改造计划任务812户，建筑面积157667平方米，室外配套工程费2823万元，其中：道路及停车场工程42400平方米、给排水工程5282米，绿化工程9600平方米、围墙及大门工程1780米，燃气工程850米，供电工程1500米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jc w:val="both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3、</w:t>
      </w:r>
      <w:r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  <w:t>上饶经开区蓝江小区B区建设项目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2021年国家棚户区改造计划任务594户，总建筑面积128369平方米，配套基础设施建设投资2500万元，其中：道路及停车场工程3084平方米、给排水工程4282米，绿化工程8300平方米、围墙及大门工程1680米，燃气工程850米，供电工程1600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jc w:val="both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4、</w:t>
      </w:r>
      <w:r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  <w:t>上饶经开区思瑞达1号广场（一期）建设项目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2021年国家棚户区改造计划任务852户，建筑面积234911平方米，配套基础设施建设投资3215万元：小区道路及停车场工程32859平方米、给排水工程2649米，绿化工程27523平方米、围墙及大门工程580米，燃气工程470米，供电工程1100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jc w:val="both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5、</w:t>
      </w:r>
      <w:r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  <w:t xml:space="preserve">上饶经开区思瑞达2号广场建设项目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2021年国家棚户区改造计划任务1690户，建筑面积192434平方米，配套基础设施建设投资6471.38万元：小区道路及停车场工程6845平方米、给排水工程9985米，绿化工程19000平方米、围墙及大门工程320米，燃气工程845米，供电工程2500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jc w:val="both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6、</w:t>
      </w:r>
      <w:r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  <w:t>上饶经开区吴洲太平小区城市棚户区（城中村）改造安置房建设项目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：2018年棚户区改造计划任务1602户，建筑面积188193平方米，配套基础设施建设投资14266万元：道路及停车场工程92530平方米，给排水管网30907米，绿化80187平方米，围墙、栏杆7863米等。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7、</w:t>
      </w:r>
      <w:r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  <w:t>上饶经开区吴洲邻里中心建设项目（吴洲安置小区二期）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：2021年国家棚户区改造计划任务873户，建筑面积143437平方米，配套基础设施建设投资8542万元：道路及停车场工程23460平方米、室外电气、给排水、燃气工程46891平方米,绿化工程15518平方米，围墙及大门工程580米。</w:t>
      </w:r>
    </w:p>
    <w:p>
      <w:pPr>
        <w:numPr>
          <w:ilvl w:val="0"/>
          <w:numId w:val="0"/>
        </w:numPr>
        <w:ind w:firstLine="562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上饶市瑞达表面精饰产业园项目：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占地面积约260亩，项目分为两期建设，一期占地约170亩，二期约90亩。一期建成可容纳40条表面精饰生产线的标准化厂房、日处理3500吨污水处理站、一备一用10吨天然气能源供应站、仓库、办公楼，并配套建设电气、给排水、道路及绿化、消防等附属工程，建筑面积109242.97㎡；二期建成可容纳30条表面精饰生产线的标准化厂房，建筑面积59819.49㎡。两期建筑面积共计169062.46㎡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总投资为62400万元，发行专项债资金49600万元。其中工程费用约51700万元。一期约43900万元，工程费用36000万元；二期约18500万元，工程费用15700万元，项目于2021年9月开工建设，预计2023年2月竣工验收。分二期建设，其中一期正在建设，已使用专项资金15846.23万元，专项债剩余资金33753.77万元（不含回款）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截至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目前施工单位完成实际工程量1.11亿元。</w:t>
      </w:r>
    </w:p>
    <w:p>
      <w:pPr>
        <w:pStyle w:val="2"/>
        <w:ind w:left="0" w:leftChars="0" w:firstLine="562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双创地下停车场建设项目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该项目位于上饶经济技术开发区兴园西街道，项目总投资约3.53亿元，工程费用约2.82亿元。分二期建设，其中一期双创地下停车场该项目占地面积约52亩，总建筑面积约2.95万㎡，新建一座地下停车场，面积约27587.5㎡，停车位约700个，地上包括铺装绿化、新能源汽车充电点、给排水、电气、公共厕所、停车茶管理用房等附属配套设施,二期兴园大道提升改造及口袋公园，占地面积约65亩，地下停车场面积约2万㎡，绿化面积约4.2万㎡，兴园大道两侧房屋外立面改造。</w:t>
      </w:r>
    </w:p>
    <w:p>
      <w:pPr>
        <w:pStyle w:val="2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项目于2020年12月开工建设，其中一期已2022月1日完工，二期施工招标中。已发行专项资金19700万元。已使全部支出完毕。</w:t>
      </w:r>
    </w:p>
    <w:p>
      <w:pPr>
        <w:pStyle w:val="2"/>
        <w:ind w:left="0" w:leftChars="0" w:firstLine="562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滨江片区城乡一体化整体建设项目一期-中心地下停车场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该项目位于上饶经开发区滨江商务中心，项目总投资约6.67亿元，工程费用约5.06亿元。总用地面积约123612㎡，总建筑面积为75289㎡。主要建设地下商业、地下停车场、硬质铺装、水景面、绿地、市政道路，同时新建给排水、电气等附属配套设施。</w:t>
      </w:r>
    </w:p>
    <w:p>
      <w:pPr>
        <w:pStyle w:val="2"/>
        <w:ind w:left="0" w:leftChars="0"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该项目分四期建设，其中一期主体已完工，收尾中；二期地下室主体已完成、装饰70%；三期绿化工程完成90%；</w:t>
      </w:r>
    </w:p>
    <w:p>
      <w:pPr>
        <w:pStyle w:val="2"/>
        <w:ind w:left="0" w:leftChars="0"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四期绿化工程完成10%，已发行专项资金53000万元，目前已支出全部支出完毕。</w:t>
      </w:r>
    </w:p>
    <w:p>
      <w:pPr>
        <w:pStyle w:val="2"/>
        <w:ind w:left="0" w:leftChars="0" w:firstLine="562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返乡创业园A区（金融产业园）项目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该项目位于上饶经开发区滨江商务中心，项目总投资约3.93亿元，工程费用约2.88亿元。总占地面积约43.3亩，总建筑面积为77685.84㎡。主要建筑包括标准产房，同时新建道路、绿化、景观给排水、电气等附属配套设施。</w:t>
      </w:r>
    </w:p>
    <w:p>
      <w:pPr>
        <w:pStyle w:val="2"/>
        <w:ind w:left="0" w:leftChars="0"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项目于2020年12月开工建设，目前项目主体已完工，收尾中。已发行专项资金28000万元，目前已全部支出完毕。</w:t>
      </w:r>
    </w:p>
    <w:p>
      <w:pPr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二）</w:t>
      </w:r>
      <w:r>
        <w:rPr>
          <w:rFonts w:hint="eastAsia" w:ascii="宋体" w:hAnsi="宋体" w:eastAsia="宋体" w:cs="宋体"/>
          <w:sz w:val="28"/>
          <w:szCs w:val="28"/>
        </w:rPr>
        <w:t>项目绩效目标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开发区返乡创业示范基地一期建设ppp项目</w:t>
      </w:r>
      <w:r>
        <w:rPr>
          <w:rFonts w:hint="eastAsia"/>
          <w:sz w:val="28"/>
          <w:szCs w:val="28"/>
          <w:lang w:val="en-US" w:eastAsia="zh-CN"/>
        </w:rPr>
        <w:t>：项目公司运营期提供良好的项目厂房租赁服务、停车租赁服务、物业服务等并负责相关设备管理养护工作，实现项目社会效益及经济效益。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农村道路建设资金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加强农村公路建设和管理，改善农村交通状况和生态环境，促进城乡经济一体化发展。进一步完善公路设施，提高农村公路安全防护水平，为人民群众出行安全提供充足的保障，促进农村经济社会的全面、协调、可持续发展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建设交通人防业务经费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抓好在建工程安全生产工作，提升工程领域管理水平，加大招投标监管力度，创新监管机制，做好消防审批管理工作，落实民生工程，提升城乡交通环境，以高质量跨越式发展为总要求，住房、城乡建设、交通等各项事业发展上新台阶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两站一所“工作经费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：为保障农村公路管理机构工作开展，做好农村公路养护及交通工程质量安全监督工作。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2021年保障性安居工程（第二批）中央基建投资预算（拨款）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：支持开发区棚户区改造配套基础设施建设额，改善社区居民的生活环境及质量，提高居民生活幸福指数。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上饶市瑞达表面精饰产业园项目：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完成建筑面积10000平方米，工程验收合格率、安全生产均达标，施工持续顺利进行。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双创地下停车场建设项目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完成项目全部建设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滨江片区城乡一体化整体建设项目一期-中心地下停车场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完成建筑面积75289平方米，实现停车场配套设施（停车场配套服务能力，如汽车洗车、美容服务、汽车超市、汽车综合服务等）出租收入、物业收入及停车位收入、充电收入等。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返乡创业园A区（金融产业园）项目: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完成建筑面积77685.84平方米，解决当地就业问题，实现入为出租收入、物业收入、停车管理。</w:t>
      </w:r>
    </w:p>
    <w:p>
      <w:pPr>
        <w:pStyle w:val="9"/>
        <w:numPr>
          <w:ilvl w:val="0"/>
          <w:numId w:val="1"/>
        </w:numPr>
        <w:shd w:val="clear" w:color="auto" w:fill="FFFFFF"/>
        <w:spacing w:beforeLines="0" w:afterLines="0" w:line="240" w:lineRule="auto"/>
        <w:ind w:leftChars="200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绩效评价工作开展情况</w:t>
      </w:r>
    </w:p>
    <w:p>
      <w:pPr>
        <w:pStyle w:val="9"/>
        <w:shd w:val="clear" w:color="auto" w:fill="FFFFFF"/>
        <w:spacing w:beforeLines="0" w:afterLines="0" w:line="240" w:lineRule="auto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（一）绩效评价组织实施过程</w:t>
      </w:r>
    </w:p>
    <w:p>
      <w:pPr>
        <w:pStyle w:val="9"/>
        <w:shd w:val="clear" w:color="auto" w:fill="FFFFFF"/>
        <w:spacing w:beforeLines="0" w:afterLines="0" w:line="240" w:lineRule="auto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1、成立临时绩效评价小组。成立了以分管领导为组长的绩效评价工作小组。</w:t>
      </w:r>
    </w:p>
    <w:p>
      <w:pPr>
        <w:pStyle w:val="9"/>
        <w:shd w:val="clear" w:color="auto" w:fill="FFFFFF"/>
        <w:spacing w:beforeLines="0" w:afterLines="0" w:line="240" w:lineRule="auto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、学习绩效评价方法和确定指导思想。绩效评价工作小组参加绩效评价相关内容的学习，严格按照有关绩效评价的文件要求，实施各项目绩效评价工作，真实、完整地反映预算项目支出实施情况，进行如实评价。在评价过程中，发现和完善项目执行过程中的不足。</w:t>
      </w:r>
    </w:p>
    <w:p>
      <w:pPr>
        <w:pStyle w:val="9"/>
        <w:shd w:val="clear" w:color="auto" w:fill="FFFFFF"/>
        <w:spacing w:beforeLines="0" w:afterLines="0" w:line="240" w:lineRule="auto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、制订科学合理的操作规范，并按要求规范严格实施，最大程度减少差错的发生，确保评价工作自身的绩效。通过对项目绩效目标进行分解确认，根据项目进展的实际情况，对项目指标进行更加准确、全面的描述，并完成《项目支出绩效评价表》。</w:t>
      </w:r>
    </w:p>
    <w:p>
      <w:pPr>
        <w:pStyle w:val="9"/>
        <w:shd w:val="clear" w:color="auto" w:fill="FFFFFF"/>
        <w:spacing w:beforeLines="0" w:afterLines="0" w:line="240" w:lineRule="auto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（二）评价指标体系</w:t>
      </w:r>
    </w:p>
    <w:p>
      <w:pPr>
        <w:pStyle w:val="9"/>
        <w:shd w:val="clear" w:color="auto" w:fill="FFFFFF"/>
        <w:spacing w:beforeLines="0" w:afterLines="0" w:line="240" w:lineRule="auto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（见附件）</w:t>
      </w:r>
    </w:p>
    <w:p>
      <w:pPr>
        <w:pStyle w:val="9"/>
        <w:numPr>
          <w:ilvl w:val="0"/>
          <w:numId w:val="0"/>
        </w:numPr>
        <w:shd w:val="clear" w:color="auto" w:fill="FFFFFF"/>
        <w:spacing w:beforeLines="0" w:afterLines="0" w:line="240" w:lineRule="auto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三、项目实施与管理</w:t>
      </w:r>
    </w:p>
    <w:p>
      <w:pPr>
        <w:pStyle w:val="9"/>
        <w:numPr>
          <w:ilvl w:val="0"/>
          <w:numId w:val="0"/>
        </w:numPr>
        <w:shd w:val="clear" w:color="auto" w:fill="FFFFFF"/>
        <w:spacing w:beforeLines="0" w:afterLines="0" w:line="240" w:lineRule="auto"/>
        <w:ind w:leftChars="200"/>
        <w:jc w:val="both"/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（一）资金计划、到位及使用情况</w:t>
      </w:r>
    </w:p>
    <w:p>
      <w:pPr>
        <w:spacing w:line="240" w:lineRule="auto"/>
        <w:ind w:firstLine="560" w:firstLineChars="20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1、资金计划：2021年年初预算项目资金总额为8054.59万；年中调整预算资金，实际拨付资金为92558.62万元。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2、资金使用情况：截至2021年12月底，项目资金共使用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91857.09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万元：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560" w:firstLineChars="20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（二）项目财务管理情况：</w:t>
      </w:r>
      <w:r>
        <w:rPr>
          <w:rFonts w:hint="eastAsia" w:ascii="宋体" w:hAnsi="宋体" w:eastAsia="宋体" w:cs="宋体"/>
          <w:sz w:val="28"/>
          <w:szCs w:val="28"/>
        </w:rPr>
        <w:t>建立了预算执行机制，编制了绩效目标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项目经费严格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按照财政管理制度进行管理，保证项目资金专用。</w:t>
      </w:r>
    </w:p>
    <w:p>
      <w:pPr>
        <w:spacing w:line="240" w:lineRule="auto"/>
        <w:ind w:firstLine="560" w:firstLineChars="200"/>
        <w:rPr>
          <w:rFonts w:hint="default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四、项目完成绩效情况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开发区返乡创业示范基地一期建设ppp项目</w:t>
      </w:r>
      <w:r>
        <w:rPr>
          <w:rFonts w:hint="eastAsia"/>
          <w:b/>
          <w:bCs/>
          <w:sz w:val="28"/>
          <w:szCs w:val="28"/>
          <w:lang w:val="en-US" w:eastAsia="zh-CN"/>
        </w:rPr>
        <w:t>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通过该项目，能够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深入推进返乡创业就业，促进脱贫攻坚的需要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实现交通优势转化为发展优势的关键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解决返乡创业就业问题的需要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有利于促进国家和地方的社会经济发展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。该项目尚未完成竣工决算，资金未拨付。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农村道路养护维修资金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年新改建农村公路总长度约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公里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养护里程数为186.142公里。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该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大幅改造提升农村道路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在保障农村道路通行、促进区域经济发展、方便群众出行等方面的效益日益显现，问卷调查显示，社会群众满意度较高，项目效果显著。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建设交通人防业务经费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组织开展1次现场观摩会，开展综合执法检查4次，开展建筑工地安全生产月活动12次；开展主题教育。安全监管覆盖率100%、在建工地扬尘治理100%、在建工地巡查率100%。全面开展农村房屋安全隐患排查整治工作。提升了民生工程建设，加强交通管理工作，强化工程领域监管，提高安全意识，建立建筑工地“双创</w:t>
      </w:r>
      <w:r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常态化管理机制。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两站一所“工作经费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：为保障农村公路管理机构工作开展，做好农村公路养护及交通工程质量安全监督工作。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2021年保障性安居工程（第二批）中央基建投资预算（拨款）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：支持开发区棚户区改造配套基础设施建设额，改善社区居民的生活环境及质量，提高居民生活幸福指数。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上饶市瑞达表面精饰产业园项目：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完成建筑面积10233.53平方米，工程验收合格率、安全生产均达标，施工持续顺利进行。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双创地下停车场建设项目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已完成一期建设额，总建筑面积29536.4平方米，停车位474个。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滨江片区城乡一体化整体建设项目一期-中心地下停车场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已完成一、二、三期建设，四期建设中。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返乡创业园A区（金融产业园）项目：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已完成建筑面积77685.84平方米，待竣工验收后运营。</w:t>
      </w:r>
    </w:p>
    <w:p>
      <w:pPr>
        <w:numPr>
          <w:ilvl w:val="0"/>
          <w:numId w:val="0"/>
        </w:numPr>
        <w:spacing w:line="240" w:lineRule="auto"/>
        <w:ind w:firstLine="280" w:firstLineChars="100"/>
        <w:rPr>
          <w:rFonts w:hint="default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五、绩效评价指标分析</w:t>
      </w:r>
    </w:p>
    <w:p>
      <w:pPr>
        <w:numPr>
          <w:ilvl w:val="0"/>
          <w:numId w:val="0"/>
        </w:numPr>
        <w:spacing w:line="240" w:lineRule="auto"/>
        <w:ind w:firstLine="280" w:firstLineChars="10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（一）项目绩效目标评价分析</w:t>
      </w:r>
    </w:p>
    <w:p>
      <w:pPr>
        <w:numPr>
          <w:ilvl w:val="0"/>
          <w:numId w:val="0"/>
        </w:numPr>
        <w:spacing w:line="240" w:lineRule="auto"/>
        <w:ind w:firstLine="280" w:firstLineChars="10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1、目标明确性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项目设定了清晰合理的绩效目标，通过项目实施打造安全舒适宜居的美好城市。</w:t>
      </w:r>
    </w:p>
    <w:p>
      <w:pPr>
        <w:numPr>
          <w:ilvl w:val="0"/>
          <w:numId w:val="0"/>
        </w:numPr>
        <w:spacing w:line="240" w:lineRule="auto"/>
        <w:ind w:firstLine="280" w:firstLineChars="100"/>
        <w:rPr>
          <w:rFonts w:hint="default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2、目标合理性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项目绩效目标的设立符合法律法规和相关要求，与项目单位的职能密切相关，绩效目标设立合理，明确产出、质量、成本、进度等产出指标。</w:t>
      </w:r>
    </w:p>
    <w:p>
      <w:pPr>
        <w:spacing w:line="240" w:lineRule="auto"/>
        <w:ind w:firstLine="280" w:firstLineChars="10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3、目标细化程度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项目设定根据年度工作计划，细化项目预算，绩效目标清晰明确合理。</w:t>
      </w:r>
    </w:p>
    <w:p>
      <w:pPr>
        <w:numPr>
          <w:ilvl w:val="0"/>
          <w:numId w:val="0"/>
        </w:numPr>
        <w:spacing w:line="240" w:lineRule="auto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（二）项目绩效控制评价分析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2021年度，建设交通局各项目实际拨入资金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92558.62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万，各项目单位以区财政的财务各项规定进行规范、约束，确保经费支出合理合法。评价认为项目资金使用比较合规。项目组运用自评并通过数据采集、问卷调查等方式，对2021年开发区返乡创业示范基地一期ppp项目、农村道路建设资金等9个专项资金进行客观评价，最终评分得分为94.21分，属于“优”。</w:t>
      </w:r>
    </w:p>
    <w:p>
      <w:pPr>
        <w:spacing w:line="240" w:lineRule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七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主要经验及做法、</w:t>
      </w:r>
      <w:r>
        <w:rPr>
          <w:rFonts w:hint="eastAsia" w:ascii="宋体" w:hAnsi="宋体" w:eastAsia="宋体" w:cs="宋体"/>
          <w:sz w:val="28"/>
          <w:szCs w:val="28"/>
        </w:rPr>
        <w:t>存在的问题及原因分析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一）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主要的经验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做法</w:t>
      </w:r>
    </w:p>
    <w:p>
      <w:pPr>
        <w:spacing w:line="600" w:lineRule="exact"/>
        <w:ind w:firstLine="560" w:firstLineChars="20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在资金管理和使用上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一是精准安排，对于已完工项目和续建项目的资金需求精细化管理，确保预算能够精准支出。对于难以确定数额的项目，尽可能降低首次安排预算的比例，不足部分在数额确定后于次年度预算中充分保障，以提高预算执行率；二是督促执行，每季度汇总统计预算执行情况，分析未执行的原因，督促相关单位加快预算执行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；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三是严格按照规定执行，做到资金使用的安全规范，对专项经费实行专项管理，保证经费及时到位和合理使用。</w:t>
      </w:r>
    </w:p>
    <w:p>
      <w:pPr>
        <w:numPr>
          <w:ilvl w:val="0"/>
          <w:numId w:val="0"/>
        </w:numPr>
        <w:spacing w:line="600" w:lineRule="exact"/>
        <w:ind w:leftChars="20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（二)需要改进的问题及措施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4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1、存在的问题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部分在建项目和部分已竣工的没有验收、移交，未及时竣工结算，缺乏有效的管理和监管。如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开发区返乡创业示范基地一期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ppp项目年初预算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-SA"/>
        </w:rPr>
        <w:t>6841.86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万元，因该项目竣工决算尚未完成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资金未拨付。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有关建议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（1）提高自筹资金到位率。乡（办）公路管理所加大协调力度，争取自筹资金早日到位，保证项目顺利实施。 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（2）加快资金支付进度，按照合同约定付款方式，及时付款。对已完工项目及时办理竣工审计，保证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预算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资金及时有效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拨付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。 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（3）项目完工后及时向主管部门提出竣（交）工验收报告，主管部门及时组织验收。项目法人要加强项目监督，力争项目在计划工期内完工。 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（4）加强项目预算管理，科学制定项目预算，整体把握项目实际完工投资额，确保项目投资在预算范围内。 </w:t>
      </w:r>
    </w:p>
    <w:p>
      <w:pPr>
        <w:spacing w:line="240" w:lineRule="auto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spacing w:line="240" w:lineRule="auto"/>
        <w:ind w:firstLine="560" w:firstLineChars="200"/>
        <w:jc w:val="righ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区建设交通局</w:t>
      </w:r>
    </w:p>
    <w:p>
      <w:pPr>
        <w:spacing w:line="240" w:lineRule="auto"/>
        <w:ind w:firstLine="560" w:firstLineChars="200"/>
        <w:jc w:val="righ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2022.6.14</w:t>
      </w:r>
    </w:p>
    <w:p>
      <w:pPr>
        <w:spacing w:line="240" w:lineRule="auto"/>
        <w:ind w:firstLine="600" w:firstLineChars="200"/>
        <w:jc w:val="right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spacing w:line="240" w:lineRule="auto"/>
        <w:ind w:firstLine="600" w:firstLineChars="200"/>
        <w:jc w:val="center"/>
        <w:rPr>
          <w:sz w:val="30"/>
          <w:szCs w:val="30"/>
        </w:rPr>
      </w:pPr>
      <w:r>
        <w:rPr>
          <w:rFonts w:hint="default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7056755</wp:posOffset>
                </wp:positionH>
                <wp:positionV relativeFrom="paragraph">
                  <wp:posOffset>1974215</wp:posOffset>
                </wp:positionV>
                <wp:extent cx="2106295" cy="365379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295" cy="3653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spacing w:beforeLines="0" w:afterLines="0"/>
                              <w:jc w:val="both"/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现版城市总体规划实施情况进行总结，提出规划实施存在的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问题，并为下一版总体规划编制提供依据◊该项目目前已完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成招投标并签订合同，由上海市同济设计研究院&amp;湘潭市建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筑设计院编制,已完成前期资料收集，正进行初步方案编制。</w:t>
                            </w:r>
                          </w:p>
                          <w:p>
                            <w:pPr>
                              <w:pStyle w:val="9"/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tabs>
                                <w:tab w:val="left" w:pos="459"/>
                              </w:tabs>
                              <w:spacing w:beforeLines="0" w:afterLines="0"/>
                              <w:ind w:firstLine="280"/>
                              <w:jc w:val="left"/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2、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ab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《湘潭市村庄规划编制导则》◊该项目本年虔预算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金额30万元◊主要是研究制定我市村庄规划的编制导则，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对设计单位编制具体村庄规划时提出规划原则、现状调研、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规划内容等合方面的详细规定。该项目由湘潭市建筑设计院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编制，目前已完成，并由我局印发红头文件实施。</w:t>
                            </w:r>
                          </w:p>
                          <w:p>
                            <w:pPr>
                              <w:pStyle w:val="9"/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tabs>
                                <w:tab w:val="left" w:pos="459"/>
                              </w:tabs>
                              <w:spacing w:beforeLines="0" w:afterLines="0"/>
                              <w:ind w:firstLine="280"/>
                              <w:jc w:val="both"/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3、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ab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《市域历史建筑保护调查名录汇编》◊该项目本年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虔预算金额30万元◊主要是对市域范围内的历史建筑进行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调查认定，并出台名录以便保护。该项目由湘潭市建筑设计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院编制，已完成并出台最终成果。</w:t>
                            </w:r>
                          </w:p>
                          <w:p>
                            <w:pPr>
                              <w:pStyle w:val="9"/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tabs>
                                <w:tab w:val="left" w:pos="459"/>
                              </w:tabs>
                              <w:spacing w:beforeLines="0" w:afterLines="0"/>
                              <w:ind w:firstLine="280"/>
                              <w:jc w:val="both"/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4、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ab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《法定规划的第三方审查技术服务》◊该项目本年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虔预算金额80万元◊主要是对2018年虔市本级编制的法定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规划如控制性详细规划，专项规划等规划成果进行第三方审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查，确保规划成果合法合规合理。该项目按法定规划分别计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费，由湖南科技大学设计研究院、湘潭市规划信息技术研究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中心等单位承担◊已完成《湘潭市城区公共服务设施专项规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划（医疗和卫生、文化、体肓、社会服务和保障）》、《湘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潭市实施&lt; 中华人民共和国城乡规划法 &gt;细则》等规划成果的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第三方审查工作。</w:t>
                            </w:r>
                          </w:p>
                          <w:p>
                            <w:pPr>
                              <w:pStyle w:val="9"/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tabs>
                                <w:tab w:val="left" w:pos="459"/>
                              </w:tabs>
                              <w:spacing w:beforeLines="0" w:afterLines="0"/>
                              <w:ind w:firstLine="280"/>
                              <w:jc w:val="left"/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5、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ab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《湘潭市卫星影像及地形图更新》◊该项目本年虔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color w:val="000000"/>
                                <w:sz w:val="12"/>
                                <w:u w:val="single"/>
                                <w:lang w:val="zh-CN" w:eastAsia="zh-CN"/>
                              </w:rPr>
                              <w:t>预算金额130万元◊主要是对湘潭市规划区1069平方公里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5.65pt;margin-top:155.45pt;height:287.7pt;width:165.85pt;mso-position-horizontal-relative:margin;z-index:251660288;mso-width-relative:page;mso-height-relative:page;" filled="f" stroked="f" coordsize="21600,21600" o:gfxdata="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qy0O+2AAAAA0BAAAPAAAAAAAAAAEAIAAAACIA&#10;AABkcnMvZG93bnJldi54bWxQSwECFAAUAAAACACHTuJAvVLL+NABAACWAwAADgAAAAAAAAABACAA&#10;AAAnAQAAZHJzL2Uyb0RvYy54bWxQSwUGAAAAAAYABgBZAQAAaQ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9"/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spacing w:beforeLines="0" w:afterLines="0"/>
                        <w:jc w:val="both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现版城市总体规划实施情况进行总结，提出规划实施存在的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问题，并为下一版总体规划编制提供依据◊该项目目前已完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成招投标并签订合同，由上海市同济设计研究院&amp;湘潭市建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筑设计院编制,已完成前期资料收集，正进行初步方案编制。</w:t>
                      </w:r>
                    </w:p>
                    <w:p>
                      <w:pPr>
                        <w:pStyle w:val="9"/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tabs>
                          <w:tab w:val="left" w:pos="459"/>
                        </w:tabs>
                        <w:spacing w:beforeLines="0" w:afterLines="0"/>
                        <w:ind w:firstLine="280"/>
                        <w:jc w:val="left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2、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ab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《湘潭市村庄规划编制导则》◊该项目本年虔预算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金额30万元◊主要是研究制定我市村庄规划的编制导则，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对设计单位编制具体村庄规划时提出规划原则、现状调研、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规划内容等合方面的详细规定。该项目由湘潭市建筑设计院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编制，目前已完成，并由我局印发红头文件实施。</w:t>
                      </w:r>
                    </w:p>
                    <w:p>
                      <w:pPr>
                        <w:pStyle w:val="9"/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tabs>
                          <w:tab w:val="left" w:pos="459"/>
                        </w:tabs>
                        <w:spacing w:beforeLines="0" w:afterLines="0"/>
                        <w:ind w:firstLine="280"/>
                        <w:jc w:val="both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3、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ab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《市域历史建筑保护调查名录汇编》◊该项目本年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虔预算金额30万元◊主要是对市域范围内的历史建筑进行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调查认定，并出台名录以便保护。该项目由湘潭市建筑设计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院编制，已完成并出台最终成果。</w:t>
                      </w:r>
                    </w:p>
                    <w:p>
                      <w:pPr>
                        <w:pStyle w:val="9"/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tabs>
                          <w:tab w:val="left" w:pos="459"/>
                        </w:tabs>
                        <w:spacing w:beforeLines="0" w:afterLines="0"/>
                        <w:ind w:firstLine="280"/>
                        <w:jc w:val="both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4、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ab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《法定规划的第三方审查技术服务》◊该项目本年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虔预算金额80万元◊主要是对2018年虔市本级编制的法定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规划如控制性详细规划，专项规划等规划成果进行第三方审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查，确保规划成果合法合规合理。该项目按法定规划分别计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费，由湖南科技大学设计研究院、湘潭市规划信息技术研究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中心等单位承担◊已完成《湘潭市城区公共服务设施专项规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划（医疗和卫生、文化、体肓、社会服务和保障）》、《湘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潭市实施&lt; 中华人民共和国城乡规划法 &gt;细则》等规划成果的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第三方审查工作。</w:t>
                      </w:r>
                    </w:p>
                    <w:p>
                      <w:pPr>
                        <w:pStyle w:val="9"/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tabs>
                          <w:tab w:val="left" w:pos="459"/>
                        </w:tabs>
                        <w:spacing w:beforeLines="0" w:afterLines="0"/>
                        <w:ind w:firstLine="280"/>
                        <w:jc w:val="left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5、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ab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《湘潭市卫星影像及地形图更新》◊该项目本年虔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Fonts w:hint="eastAsia"/>
                          <w:color w:val="000000"/>
                          <w:sz w:val="12"/>
                          <w:u w:val="single"/>
                          <w:lang w:val="zh-CN" w:eastAsia="zh-CN"/>
                        </w:rPr>
                        <w:t>预算金额130万元◊主要是对湘潭市规划区1069平方公里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2098" w:right="1588" w:bottom="209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420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FE9964"/>
    <w:multiLevelType w:val="singleLevel"/>
    <w:tmpl w:val="C1FE996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NDE0ODY3ZTVjZmM3ZmY0MzMwYTgxMjgzYzcxMjgifQ=="/>
  </w:docVars>
  <w:rsids>
    <w:rsidRoot w:val="00046056"/>
    <w:rsid w:val="00046056"/>
    <w:rsid w:val="001742A5"/>
    <w:rsid w:val="001E597E"/>
    <w:rsid w:val="01AA6EF4"/>
    <w:rsid w:val="02251896"/>
    <w:rsid w:val="024319D2"/>
    <w:rsid w:val="02847BBA"/>
    <w:rsid w:val="029A0B1E"/>
    <w:rsid w:val="02E9041F"/>
    <w:rsid w:val="033E4835"/>
    <w:rsid w:val="039E6B49"/>
    <w:rsid w:val="03A97D31"/>
    <w:rsid w:val="048C4EAA"/>
    <w:rsid w:val="0496180E"/>
    <w:rsid w:val="04985657"/>
    <w:rsid w:val="04DC6D0F"/>
    <w:rsid w:val="04F635A8"/>
    <w:rsid w:val="056D59A4"/>
    <w:rsid w:val="0579179D"/>
    <w:rsid w:val="057B7BDB"/>
    <w:rsid w:val="05892043"/>
    <w:rsid w:val="070417D9"/>
    <w:rsid w:val="070D5363"/>
    <w:rsid w:val="072C7D3F"/>
    <w:rsid w:val="07393688"/>
    <w:rsid w:val="07AC28AF"/>
    <w:rsid w:val="08707B59"/>
    <w:rsid w:val="08C56045"/>
    <w:rsid w:val="08EE5FF3"/>
    <w:rsid w:val="093573E2"/>
    <w:rsid w:val="09A002F0"/>
    <w:rsid w:val="09B40629"/>
    <w:rsid w:val="0A240D41"/>
    <w:rsid w:val="0A7341D0"/>
    <w:rsid w:val="0AA629A7"/>
    <w:rsid w:val="0B020E74"/>
    <w:rsid w:val="0B477728"/>
    <w:rsid w:val="0C036953"/>
    <w:rsid w:val="0C4447EC"/>
    <w:rsid w:val="0C4A11C2"/>
    <w:rsid w:val="0CAC0EA2"/>
    <w:rsid w:val="0D806FB4"/>
    <w:rsid w:val="0DB611E9"/>
    <w:rsid w:val="0E0B3D03"/>
    <w:rsid w:val="0E3D0260"/>
    <w:rsid w:val="0E4E1B50"/>
    <w:rsid w:val="0E6A5AE5"/>
    <w:rsid w:val="0E8626A0"/>
    <w:rsid w:val="0EDB544F"/>
    <w:rsid w:val="0EE60B6F"/>
    <w:rsid w:val="0FA328A3"/>
    <w:rsid w:val="0FD42AAF"/>
    <w:rsid w:val="10804E84"/>
    <w:rsid w:val="11527ADF"/>
    <w:rsid w:val="119F655C"/>
    <w:rsid w:val="11BE7E64"/>
    <w:rsid w:val="12613B93"/>
    <w:rsid w:val="12CC3325"/>
    <w:rsid w:val="130A4803"/>
    <w:rsid w:val="13241FBE"/>
    <w:rsid w:val="137867C4"/>
    <w:rsid w:val="13D5359B"/>
    <w:rsid w:val="13F668B9"/>
    <w:rsid w:val="13F83486"/>
    <w:rsid w:val="14405C50"/>
    <w:rsid w:val="14795B82"/>
    <w:rsid w:val="14BE4C39"/>
    <w:rsid w:val="14C424CB"/>
    <w:rsid w:val="150B4936"/>
    <w:rsid w:val="152532AC"/>
    <w:rsid w:val="15D96851"/>
    <w:rsid w:val="162A39F3"/>
    <w:rsid w:val="16F05DBB"/>
    <w:rsid w:val="175A1600"/>
    <w:rsid w:val="17DD2F4E"/>
    <w:rsid w:val="18217ACD"/>
    <w:rsid w:val="1827395E"/>
    <w:rsid w:val="18BA053C"/>
    <w:rsid w:val="194C0491"/>
    <w:rsid w:val="197C30A6"/>
    <w:rsid w:val="19C040A0"/>
    <w:rsid w:val="19F8758E"/>
    <w:rsid w:val="1AF17752"/>
    <w:rsid w:val="1B9B0045"/>
    <w:rsid w:val="1BA56621"/>
    <w:rsid w:val="1BB90552"/>
    <w:rsid w:val="1BEF57BF"/>
    <w:rsid w:val="1C9F4CD7"/>
    <w:rsid w:val="1CCF5517"/>
    <w:rsid w:val="1CD55A36"/>
    <w:rsid w:val="1D30039B"/>
    <w:rsid w:val="1D6058B0"/>
    <w:rsid w:val="1D721599"/>
    <w:rsid w:val="1E853807"/>
    <w:rsid w:val="1EA72401"/>
    <w:rsid w:val="1EEF1E5D"/>
    <w:rsid w:val="1FC665A9"/>
    <w:rsid w:val="1FCC419C"/>
    <w:rsid w:val="1FDD7673"/>
    <w:rsid w:val="1FE70781"/>
    <w:rsid w:val="1FF12CFB"/>
    <w:rsid w:val="201559B5"/>
    <w:rsid w:val="208F5DBD"/>
    <w:rsid w:val="20AB77A1"/>
    <w:rsid w:val="20EC56ED"/>
    <w:rsid w:val="21123178"/>
    <w:rsid w:val="21AC2006"/>
    <w:rsid w:val="21FE6EE5"/>
    <w:rsid w:val="220240CE"/>
    <w:rsid w:val="229A2517"/>
    <w:rsid w:val="22CF2946"/>
    <w:rsid w:val="23C24F39"/>
    <w:rsid w:val="23EC622F"/>
    <w:rsid w:val="253B4EA7"/>
    <w:rsid w:val="256A4E78"/>
    <w:rsid w:val="259A322B"/>
    <w:rsid w:val="25B3016A"/>
    <w:rsid w:val="25D7134C"/>
    <w:rsid w:val="260964E4"/>
    <w:rsid w:val="26105443"/>
    <w:rsid w:val="26331487"/>
    <w:rsid w:val="264F7A63"/>
    <w:rsid w:val="268402A3"/>
    <w:rsid w:val="26F43755"/>
    <w:rsid w:val="2705396F"/>
    <w:rsid w:val="271534BB"/>
    <w:rsid w:val="279A3699"/>
    <w:rsid w:val="27BB0F84"/>
    <w:rsid w:val="27D47BFC"/>
    <w:rsid w:val="28186C80"/>
    <w:rsid w:val="288042BD"/>
    <w:rsid w:val="28AF525E"/>
    <w:rsid w:val="28B6378B"/>
    <w:rsid w:val="2A172D37"/>
    <w:rsid w:val="2A3E5F09"/>
    <w:rsid w:val="2AAD3DD3"/>
    <w:rsid w:val="2AD03406"/>
    <w:rsid w:val="2BA80DC6"/>
    <w:rsid w:val="2BB571A2"/>
    <w:rsid w:val="2C3B2EE8"/>
    <w:rsid w:val="2C5F2EF4"/>
    <w:rsid w:val="2C922DBC"/>
    <w:rsid w:val="2D014E25"/>
    <w:rsid w:val="2D6A2E70"/>
    <w:rsid w:val="2D7E72F8"/>
    <w:rsid w:val="2DA7366E"/>
    <w:rsid w:val="2EF2194D"/>
    <w:rsid w:val="2EFF452B"/>
    <w:rsid w:val="2F173C0F"/>
    <w:rsid w:val="2F202ACD"/>
    <w:rsid w:val="2F2B4BD6"/>
    <w:rsid w:val="2F784047"/>
    <w:rsid w:val="2F905144"/>
    <w:rsid w:val="3002636E"/>
    <w:rsid w:val="30575E06"/>
    <w:rsid w:val="32290A13"/>
    <w:rsid w:val="324262F9"/>
    <w:rsid w:val="324E03C9"/>
    <w:rsid w:val="32866151"/>
    <w:rsid w:val="32B9121F"/>
    <w:rsid w:val="344979B7"/>
    <w:rsid w:val="346063B1"/>
    <w:rsid w:val="349B15CF"/>
    <w:rsid w:val="34FC56F7"/>
    <w:rsid w:val="350F6663"/>
    <w:rsid w:val="356A09C1"/>
    <w:rsid w:val="35FE6F15"/>
    <w:rsid w:val="3622653B"/>
    <w:rsid w:val="36DE2ECF"/>
    <w:rsid w:val="37597215"/>
    <w:rsid w:val="377E3D0D"/>
    <w:rsid w:val="37AA5A75"/>
    <w:rsid w:val="37DA60F5"/>
    <w:rsid w:val="37E752CF"/>
    <w:rsid w:val="38B92E41"/>
    <w:rsid w:val="394A127D"/>
    <w:rsid w:val="39E246E0"/>
    <w:rsid w:val="3AA274BE"/>
    <w:rsid w:val="3AA7077C"/>
    <w:rsid w:val="3ADB0A85"/>
    <w:rsid w:val="3AEA631B"/>
    <w:rsid w:val="3B2E6944"/>
    <w:rsid w:val="3B381457"/>
    <w:rsid w:val="3B7E1FB7"/>
    <w:rsid w:val="3BEA7DFC"/>
    <w:rsid w:val="3BF20568"/>
    <w:rsid w:val="3C056CBE"/>
    <w:rsid w:val="3C4007DA"/>
    <w:rsid w:val="3C591A9F"/>
    <w:rsid w:val="3D073A5A"/>
    <w:rsid w:val="3D0801C1"/>
    <w:rsid w:val="3D1C2204"/>
    <w:rsid w:val="3DA75E2A"/>
    <w:rsid w:val="3E1867F4"/>
    <w:rsid w:val="3E7A7F88"/>
    <w:rsid w:val="3E8D0F31"/>
    <w:rsid w:val="3E9E4A33"/>
    <w:rsid w:val="3EE15F75"/>
    <w:rsid w:val="3EF727C8"/>
    <w:rsid w:val="3F2F5005"/>
    <w:rsid w:val="3F7F4D88"/>
    <w:rsid w:val="3FA12EE1"/>
    <w:rsid w:val="3FE32668"/>
    <w:rsid w:val="401D57B0"/>
    <w:rsid w:val="40C00AC3"/>
    <w:rsid w:val="41BF30B8"/>
    <w:rsid w:val="41EE38FE"/>
    <w:rsid w:val="427C17CD"/>
    <w:rsid w:val="42DE4DA1"/>
    <w:rsid w:val="42E33A4A"/>
    <w:rsid w:val="433B138A"/>
    <w:rsid w:val="437A1A8B"/>
    <w:rsid w:val="448A3AA5"/>
    <w:rsid w:val="44A92D3F"/>
    <w:rsid w:val="459E0736"/>
    <w:rsid w:val="45AB15A2"/>
    <w:rsid w:val="45EE5F13"/>
    <w:rsid w:val="45F07EE5"/>
    <w:rsid w:val="468C451D"/>
    <w:rsid w:val="46B02170"/>
    <w:rsid w:val="472A3C8F"/>
    <w:rsid w:val="47460787"/>
    <w:rsid w:val="476310F8"/>
    <w:rsid w:val="476E369B"/>
    <w:rsid w:val="480B204F"/>
    <w:rsid w:val="486736C9"/>
    <w:rsid w:val="48FE7E97"/>
    <w:rsid w:val="49DE7609"/>
    <w:rsid w:val="49F02D11"/>
    <w:rsid w:val="4A026020"/>
    <w:rsid w:val="4A2169F6"/>
    <w:rsid w:val="4A480E92"/>
    <w:rsid w:val="4AA929D8"/>
    <w:rsid w:val="4ABF2DF3"/>
    <w:rsid w:val="4AC91E08"/>
    <w:rsid w:val="4B606109"/>
    <w:rsid w:val="4C2208CA"/>
    <w:rsid w:val="4CE363A6"/>
    <w:rsid w:val="4D490016"/>
    <w:rsid w:val="4D8C7D4A"/>
    <w:rsid w:val="4D91055E"/>
    <w:rsid w:val="4DDC24C5"/>
    <w:rsid w:val="4DF16CD2"/>
    <w:rsid w:val="4E0B6468"/>
    <w:rsid w:val="4E6F20CE"/>
    <w:rsid w:val="4ECD4D26"/>
    <w:rsid w:val="4F10742D"/>
    <w:rsid w:val="4FB60AF1"/>
    <w:rsid w:val="4FD31D8C"/>
    <w:rsid w:val="50BD61B2"/>
    <w:rsid w:val="50CE384F"/>
    <w:rsid w:val="50EB5048"/>
    <w:rsid w:val="5126586E"/>
    <w:rsid w:val="521A6817"/>
    <w:rsid w:val="52CF6B1F"/>
    <w:rsid w:val="52E24C5F"/>
    <w:rsid w:val="52EF3207"/>
    <w:rsid w:val="52FD7ECE"/>
    <w:rsid w:val="530872BF"/>
    <w:rsid w:val="53210A7A"/>
    <w:rsid w:val="53FD5FD6"/>
    <w:rsid w:val="547A0D36"/>
    <w:rsid w:val="547B4F26"/>
    <w:rsid w:val="54821BA7"/>
    <w:rsid w:val="54F653C8"/>
    <w:rsid w:val="550B2398"/>
    <w:rsid w:val="55335EBD"/>
    <w:rsid w:val="557A3AD7"/>
    <w:rsid w:val="55A228D0"/>
    <w:rsid w:val="560D5E77"/>
    <w:rsid w:val="561F0397"/>
    <w:rsid w:val="565749E5"/>
    <w:rsid w:val="5687033D"/>
    <w:rsid w:val="56C73330"/>
    <w:rsid w:val="57126A00"/>
    <w:rsid w:val="571B3A40"/>
    <w:rsid w:val="572A26A1"/>
    <w:rsid w:val="5795288E"/>
    <w:rsid w:val="57C94F51"/>
    <w:rsid w:val="57E74434"/>
    <w:rsid w:val="583628E4"/>
    <w:rsid w:val="58576398"/>
    <w:rsid w:val="588C6605"/>
    <w:rsid w:val="58B90C48"/>
    <w:rsid w:val="590039DB"/>
    <w:rsid w:val="591D2852"/>
    <w:rsid w:val="596427BA"/>
    <w:rsid w:val="59B36F8D"/>
    <w:rsid w:val="5AF242E8"/>
    <w:rsid w:val="5BFC5C9D"/>
    <w:rsid w:val="5C767DE6"/>
    <w:rsid w:val="5C7779AC"/>
    <w:rsid w:val="5D112758"/>
    <w:rsid w:val="5D803D7D"/>
    <w:rsid w:val="5DB22AC6"/>
    <w:rsid w:val="5DB50836"/>
    <w:rsid w:val="5DF96E9C"/>
    <w:rsid w:val="5E510CDE"/>
    <w:rsid w:val="5EE80FB9"/>
    <w:rsid w:val="5F3233E1"/>
    <w:rsid w:val="5FAF2BC3"/>
    <w:rsid w:val="5FE86E47"/>
    <w:rsid w:val="600463BC"/>
    <w:rsid w:val="60272893"/>
    <w:rsid w:val="6058728A"/>
    <w:rsid w:val="60F005AD"/>
    <w:rsid w:val="60F66995"/>
    <w:rsid w:val="613D760F"/>
    <w:rsid w:val="61943915"/>
    <w:rsid w:val="61F3057F"/>
    <w:rsid w:val="62605FED"/>
    <w:rsid w:val="62862059"/>
    <w:rsid w:val="629C7AE3"/>
    <w:rsid w:val="62B70D0E"/>
    <w:rsid w:val="63932190"/>
    <w:rsid w:val="64046E22"/>
    <w:rsid w:val="640A7727"/>
    <w:rsid w:val="64184937"/>
    <w:rsid w:val="648B2BEF"/>
    <w:rsid w:val="649261D2"/>
    <w:rsid w:val="64A4130B"/>
    <w:rsid w:val="655271BE"/>
    <w:rsid w:val="65D8559B"/>
    <w:rsid w:val="65EB4C72"/>
    <w:rsid w:val="669667CB"/>
    <w:rsid w:val="66B10DA6"/>
    <w:rsid w:val="670D67D8"/>
    <w:rsid w:val="67164B8C"/>
    <w:rsid w:val="67D14F7F"/>
    <w:rsid w:val="67F705FF"/>
    <w:rsid w:val="683D118A"/>
    <w:rsid w:val="68881BD3"/>
    <w:rsid w:val="68961E0B"/>
    <w:rsid w:val="69450B05"/>
    <w:rsid w:val="69A73AD0"/>
    <w:rsid w:val="6A3707A5"/>
    <w:rsid w:val="6A4D5950"/>
    <w:rsid w:val="6AAC705B"/>
    <w:rsid w:val="6B0737C1"/>
    <w:rsid w:val="6B40190D"/>
    <w:rsid w:val="6B9B005D"/>
    <w:rsid w:val="6BA26DD2"/>
    <w:rsid w:val="6C645684"/>
    <w:rsid w:val="6C9C2DA5"/>
    <w:rsid w:val="6D314FE0"/>
    <w:rsid w:val="6DEB2219"/>
    <w:rsid w:val="6E0F6807"/>
    <w:rsid w:val="6E10585C"/>
    <w:rsid w:val="6E316D7C"/>
    <w:rsid w:val="6F356B0D"/>
    <w:rsid w:val="6F3B6B33"/>
    <w:rsid w:val="6F4A41C4"/>
    <w:rsid w:val="6F76719A"/>
    <w:rsid w:val="701C7AF9"/>
    <w:rsid w:val="702D490C"/>
    <w:rsid w:val="705015DB"/>
    <w:rsid w:val="706C51AD"/>
    <w:rsid w:val="70AF79AA"/>
    <w:rsid w:val="70EA637E"/>
    <w:rsid w:val="715E1829"/>
    <w:rsid w:val="716565CE"/>
    <w:rsid w:val="717E36F6"/>
    <w:rsid w:val="71A2782D"/>
    <w:rsid w:val="71AA4034"/>
    <w:rsid w:val="71E342F4"/>
    <w:rsid w:val="721160D9"/>
    <w:rsid w:val="72AB4F78"/>
    <w:rsid w:val="730F1374"/>
    <w:rsid w:val="73295E16"/>
    <w:rsid w:val="733B5FD9"/>
    <w:rsid w:val="73472A10"/>
    <w:rsid w:val="736B1426"/>
    <w:rsid w:val="737351EE"/>
    <w:rsid w:val="73CF1719"/>
    <w:rsid w:val="73E95DA6"/>
    <w:rsid w:val="74763236"/>
    <w:rsid w:val="74D90EB0"/>
    <w:rsid w:val="74F617C5"/>
    <w:rsid w:val="759D7665"/>
    <w:rsid w:val="75A20C2F"/>
    <w:rsid w:val="75E0353E"/>
    <w:rsid w:val="76327C14"/>
    <w:rsid w:val="764F679B"/>
    <w:rsid w:val="769F339A"/>
    <w:rsid w:val="77C508A8"/>
    <w:rsid w:val="77F360F2"/>
    <w:rsid w:val="780A58F5"/>
    <w:rsid w:val="78216875"/>
    <w:rsid w:val="78B55F05"/>
    <w:rsid w:val="797C4BA7"/>
    <w:rsid w:val="797D2C91"/>
    <w:rsid w:val="79CD3D06"/>
    <w:rsid w:val="7A5D353E"/>
    <w:rsid w:val="7A622CEF"/>
    <w:rsid w:val="7ACA320C"/>
    <w:rsid w:val="7AFC1A40"/>
    <w:rsid w:val="7B426C34"/>
    <w:rsid w:val="7B4704DA"/>
    <w:rsid w:val="7B773EC2"/>
    <w:rsid w:val="7B911621"/>
    <w:rsid w:val="7BEB7898"/>
    <w:rsid w:val="7C101941"/>
    <w:rsid w:val="7C9C3CF3"/>
    <w:rsid w:val="7CC70121"/>
    <w:rsid w:val="7CF02D34"/>
    <w:rsid w:val="7D4A64DF"/>
    <w:rsid w:val="7E0524CB"/>
    <w:rsid w:val="7E684C9C"/>
    <w:rsid w:val="7E707C88"/>
    <w:rsid w:val="7E86412D"/>
    <w:rsid w:val="7E894CE1"/>
    <w:rsid w:val="7ED12F39"/>
    <w:rsid w:val="7F525880"/>
    <w:rsid w:val="7F7C4E2C"/>
    <w:rsid w:val="7FB625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kern w:val="2"/>
      <w:sz w:val="32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cs="宋体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8">
    <w:name w:val="正文1 Char Char Char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9">
    <w:name w:val="正文文本 (2)"/>
    <w:basedOn w:val="1"/>
    <w:link w:val="11"/>
    <w:unhideWhenUsed/>
    <w:qFormat/>
    <w:uiPriority w:val="99"/>
    <w:pPr>
      <w:shd w:val="clear" w:color="auto" w:fill="FFFFFF"/>
      <w:spacing w:beforeLines="0" w:afterLines="0" w:line="239" w:lineRule="exact"/>
      <w:jc w:val="distribute"/>
    </w:pPr>
    <w:rPr>
      <w:rFonts w:hint="eastAsia" w:ascii="微软雅黑" w:hAnsi="微软雅黑" w:eastAsia="微软雅黑"/>
      <w:sz w:val="12"/>
    </w:rPr>
  </w:style>
  <w:style w:type="character" w:customStyle="1" w:styleId="10">
    <w:name w:val="正文文本 (2)1"/>
    <w:basedOn w:val="11"/>
    <w:unhideWhenUsed/>
    <w:qFormat/>
    <w:uiPriority w:val="99"/>
    <w:rPr>
      <w:rFonts w:hint="eastAsia"/>
      <w:sz w:val="12"/>
    </w:rPr>
  </w:style>
  <w:style w:type="character" w:customStyle="1" w:styleId="11">
    <w:name w:val="正文文本 (2)_"/>
    <w:basedOn w:val="7"/>
    <w:link w:val="9"/>
    <w:unhideWhenUsed/>
    <w:qFormat/>
    <w:uiPriority w:val="99"/>
    <w:rPr>
      <w:rFonts w:hint="eastAsia" w:ascii="微软雅黑" w:hAnsi="微软雅黑" w:eastAsia="微软雅黑"/>
      <w:sz w:val="12"/>
    </w:rPr>
  </w:style>
  <w:style w:type="character" w:customStyle="1" w:styleId="12">
    <w:name w:val="正文文本 (2) Exact"/>
    <w:basedOn w:val="11"/>
    <w:unhideWhenUsed/>
    <w:qFormat/>
    <w:uiPriority w:val="99"/>
    <w:rPr>
      <w:rFonts w:hint="eastAsia"/>
      <w:sz w:val="12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655</Words>
  <Characters>3737</Characters>
  <Lines>31</Lines>
  <Paragraphs>8</Paragraphs>
  <TotalTime>3</TotalTime>
  <ScaleCrop>false</ScaleCrop>
  <LinksUpToDate>false</LinksUpToDate>
  <CharactersWithSpaces>4384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经开区党政办收发员</cp:lastModifiedBy>
  <cp:lastPrinted>2022-06-14T03:40:00Z</cp:lastPrinted>
  <dcterms:modified xsi:type="dcterms:W3CDTF">2023-12-25T07:49:46Z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272985E61FC64B27ADC1A48A19496DF8_12</vt:lpwstr>
  </property>
</Properties>
</file>