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黑体" w:hAnsi="黑体" w:eastAsia="黑体"/>
          <w:bCs/>
          <w:sz w:val="44"/>
          <w:szCs w:val="44"/>
        </w:rPr>
      </w:pPr>
      <w:r>
        <w:rPr>
          <w:rFonts w:hint="eastAsia" w:asciiTheme="majorEastAsia" w:hAnsiTheme="majorEastAsia" w:eastAsiaTheme="majorEastAsia" w:cstheme="majorEastAsia"/>
          <w:b/>
          <w:bCs/>
          <w:sz w:val="44"/>
          <w:szCs w:val="44"/>
          <w:lang w:val="en-US" w:eastAsia="zh-CN"/>
        </w:rPr>
        <w:t>2021年经开区</w:t>
      </w:r>
      <w:r>
        <w:rPr>
          <w:rFonts w:hint="eastAsia" w:ascii="黑体" w:hAnsi="黑体" w:eastAsia="黑体"/>
          <w:bCs/>
          <w:sz w:val="44"/>
          <w:szCs w:val="44"/>
        </w:rPr>
        <w:t>预算绩效管理工作</w:t>
      </w:r>
    </w:p>
    <w:p>
      <w:pPr>
        <w:spacing w:line="580" w:lineRule="exact"/>
        <w:jc w:val="center"/>
        <w:rPr>
          <w:rFonts w:hint="eastAsia" w:ascii="黑体" w:hAnsi="黑体" w:eastAsia="黑体"/>
          <w:bCs/>
          <w:sz w:val="44"/>
          <w:szCs w:val="44"/>
        </w:rPr>
      </w:pPr>
      <w:r>
        <w:rPr>
          <w:rFonts w:hint="eastAsia" w:ascii="黑体" w:hAnsi="黑体" w:eastAsia="黑体"/>
          <w:bCs/>
          <w:sz w:val="44"/>
          <w:szCs w:val="44"/>
        </w:rPr>
        <w:t>开展情况说明</w:t>
      </w:r>
    </w:p>
    <w:p>
      <w:pPr>
        <w:numPr>
          <w:ilvl w:val="0"/>
          <w:numId w:val="0"/>
        </w:numPr>
        <w:spacing w:line="580" w:lineRule="exact"/>
        <w:rPr>
          <w:rFonts w:hint="eastAsia" w:ascii="仿宋" w:hAnsi="仿宋" w:eastAsia="仿宋" w:cs="仿宋"/>
          <w:b/>
          <w:bCs/>
          <w:sz w:val="30"/>
          <w:szCs w:val="30"/>
        </w:rPr>
      </w:pPr>
    </w:p>
    <w:p>
      <w:pPr>
        <w:numPr>
          <w:ilvl w:val="0"/>
          <w:numId w:val="0"/>
        </w:numPr>
        <w:spacing w:line="580" w:lineRule="exact"/>
        <w:ind w:firstLine="640" w:firstLineChars="200"/>
        <w:rPr>
          <w:rFonts w:hint="eastAsia" w:ascii="仿宋" w:hAnsi="仿宋" w:eastAsia="仿宋" w:cs="仿宋"/>
          <w:b/>
          <w:bCs/>
          <w:sz w:val="30"/>
          <w:szCs w:val="30"/>
        </w:rPr>
      </w:pPr>
      <w:r>
        <w:rPr>
          <w:rFonts w:hint="eastAsia"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w:t>
      </w:r>
      <w:r>
        <w:rPr>
          <w:rFonts w:hint="eastAsia" w:ascii="仿宋" w:hAnsi="仿宋" w:eastAsia="仿宋"/>
          <w:color w:val="000000"/>
          <w:sz w:val="32"/>
          <w:szCs w:val="32"/>
          <w:lang w:eastAsia="zh-CN"/>
        </w:rPr>
        <w:t>经开区</w:t>
      </w:r>
      <w:r>
        <w:rPr>
          <w:rFonts w:hint="eastAsia" w:ascii="仿宋" w:hAnsi="仿宋" w:eastAsia="仿宋"/>
          <w:color w:val="000000"/>
          <w:sz w:val="32"/>
          <w:szCs w:val="32"/>
        </w:rPr>
        <w:t>预算绩效管理工作在</w:t>
      </w:r>
      <w:r>
        <w:rPr>
          <w:rFonts w:hint="eastAsia" w:ascii="仿宋" w:hAnsi="仿宋" w:eastAsia="仿宋"/>
          <w:color w:val="000000"/>
          <w:sz w:val="32"/>
          <w:szCs w:val="32"/>
          <w:lang w:eastAsia="zh-CN"/>
        </w:rPr>
        <w:t>市财政局</w:t>
      </w:r>
      <w:r>
        <w:rPr>
          <w:rFonts w:hint="eastAsia" w:ascii="仿宋" w:hAnsi="仿宋" w:eastAsia="仿宋"/>
          <w:color w:val="000000"/>
          <w:sz w:val="32"/>
          <w:szCs w:val="32"/>
        </w:rPr>
        <w:t>的精心指导和</w:t>
      </w:r>
      <w:r>
        <w:rPr>
          <w:rFonts w:hint="eastAsia" w:ascii="仿宋" w:hAnsi="仿宋" w:eastAsia="仿宋"/>
          <w:color w:val="000000"/>
          <w:sz w:val="32"/>
          <w:szCs w:val="32"/>
          <w:lang w:eastAsia="zh-CN"/>
        </w:rPr>
        <w:t>党工委、管委会</w:t>
      </w:r>
      <w:r>
        <w:rPr>
          <w:rFonts w:hint="eastAsia" w:ascii="仿宋" w:hAnsi="仿宋" w:eastAsia="仿宋"/>
          <w:color w:val="000000"/>
          <w:sz w:val="32"/>
          <w:szCs w:val="32"/>
        </w:rPr>
        <w:t>正确领导下，坚持以习近平新时代中国特色社会主义思想为引领，以《中共中央 国务院〈关于全面实施预算绩效管理的意见〉》（中发〔2018〕34号）精神为指导，</w:t>
      </w:r>
      <w:r>
        <w:rPr>
          <w:rFonts w:hint="eastAsia" w:ascii="仿宋" w:hAnsi="仿宋" w:eastAsia="仿宋" w:cs="仿宋"/>
          <w:bCs/>
          <w:sz w:val="32"/>
          <w:szCs w:val="32"/>
        </w:rPr>
        <w:t>紧紧围绕</w:t>
      </w:r>
      <w:r>
        <w:rPr>
          <w:rFonts w:hint="eastAsia" w:ascii="仿宋" w:hAnsi="仿宋" w:eastAsia="仿宋" w:cs="仿宋"/>
          <w:bCs/>
          <w:sz w:val="32"/>
          <w:szCs w:val="32"/>
          <w:lang w:eastAsia="zh-CN"/>
        </w:rPr>
        <w:t>区党工委</w:t>
      </w:r>
      <w:r>
        <w:rPr>
          <w:rFonts w:hint="eastAsia" w:ascii="仿宋" w:hAnsi="仿宋" w:eastAsia="仿宋" w:cs="仿宋"/>
          <w:bCs/>
          <w:sz w:val="32"/>
          <w:szCs w:val="32"/>
        </w:rPr>
        <w:t>经济工作会议和全</w:t>
      </w:r>
      <w:r>
        <w:rPr>
          <w:rFonts w:hint="eastAsia" w:ascii="仿宋" w:hAnsi="仿宋" w:eastAsia="仿宋" w:cs="仿宋"/>
          <w:bCs/>
          <w:sz w:val="32"/>
          <w:szCs w:val="32"/>
          <w:lang w:eastAsia="zh-CN"/>
        </w:rPr>
        <w:t>区</w:t>
      </w:r>
      <w:r>
        <w:rPr>
          <w:rFonts w:hint="eastAsia" w:ascii="仿宋" w:hAnsi="仿宋" w:eastAsia="仿宋" w:cs="仿宋"/>
          <w:bCs/>
          <w:sz w:val="32"/>
          <w:szCs w:val="32"/>
        </w:rPr>
        <w:t>财政工作会议部署，聚焦财政中心工作，充分发挥预算绩效管理的职能作用</w:t>
      </w:r>
      <w:r>
        <w:rPr>
          <w:rFonts w:hint="eastAsia" w:ascii="仿宋" w:hAnsi="仿宋" w:eastAsia="仿宋" w:cs="仿宋"/>
          <w:bCs/>
          <w:sz w:val="32"/>
          <w:szCs w:val="32"/>
          <w:lang w:eastAsia="zh-CN"/>
        </w:rPr>
        <w:t>，</w:t>
      </w:r>
      <w:r>
        <w:rPr>
          <w:rFonts w:hint="eastAsia" w:ascii="仿宋" w:hAnsi="仿宋" w:eastAsia="仿宋" w:cs="仿宋"/>
          <w:bCs/>
          <w:sz w:val="32"/>
          <w:szCs w:val="32"/>
        </w:rPr>
        <w:t>主动适应新形势新任务新要求，以提高财政资源配置效率、财政资金使用效益为目标，深入推进“三全”“五有”全面预算绩效管理体系建设。</w:t>
      </w:r>
    </w:p>
    <w:p>
      <w:pPr>
        <w:numPr>
          <w:ilvl w:val="0"/>
          <w:numId w:val="0"/>
        </w:numPr>
        <w:spacing w:line="58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eastAsia="zh-CN"/>
        </w:rPr>
        <w:t>一、</w:t>
      </w:r>
      <w:r>
        <w:rPr>
          <w:rFonts w:hint="eastAsia" w:ascii="仿宋" w:hAnsi="仿宋" w:eastAsia="仿宋" w:cs="仿宋"/>
          <w:b/>
          <w:bCs/>
          <w:sz w:val="32"/>
          <w:szCs w:val="32"/>
        </w:rPr>
        <w:t>加快构建预算绩效管理制度体系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按照“1+N”模式推进预算绩效管理制度体系建设，印</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发《上饶经开区财政局预算绩效管理工作内部规程（暂行）》和《经开区预算绩效目标管理办法（试行）》等实施细则，规范了全过程预算绩效管理核心环节的内容和工作要求，为全面实施预算绩效管理提供遵循。</w:t>
      </w:r>
    </w:p>
    <w:p>
      <w:pPr>
        <w:keepNext w:val="0"/>
        <w:keepLines w:val="0"/>
        <w:pageBreakBefore w:val="0"/>
        <w:widowControl w:val="0"/>
        <w:numPr>
          <w:ilvl w:val="0"/>
          <w:numId w:val="1"/>
        </w:numPr>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组织完善全过程预算绩效管理链条</w:t>
      </w:r>
    </w:p>
    <w:p>
      <w:pPr>
        <w:keepNext w:val="0"/>
        <w:keepLines w:val="0"/>
        <w:pageBreakBefore w:val="0"/>
        <w:widowControl w:val="0"/>
        <w:numPr>
          <w:numId w:val="0"/>
        </w:numPr>
        <w:kinsoku/>
        <w:wordWrap/>
        <w:overflowPunct/>
        <w:topLinePunct w:val="0"/>
        <w:autoSpaceDE/>
        <w:autoSpaceDN/>
        <w:bidi w:val="0"/>
        <w:adjustRightInd/>
        <w:snapToGrid/>
        <w:ind w:firstLine="643"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1.绩效目标编实编细。</w:t>
      </w:r>
      <w:r>
        <w:rPr>
          <w:rFonts w:hint="eastAsia" w:ascii="仿宋" w:hAnsi="仿宋" w:eastAsia="仿宋" w:cs="仿宋"/>
          <w:b w:val="0"/>
          <w:bCs w:val="0"/>
          <w:sz w:val="32"/>
          <w:szCs w:val="32"/>
          <w:lang w:val="en-US" w:eastAsia="zh-CN"/>
        </w:rPr>
        <w:t>在预算审核中严把绩效目标申报、 审核和质量“三关”，要求区直部门按规定编报2021年度所有预算二级项目、一级项目、部门整体支出以及区级主要支出项目的绩效目标，从项目入库的源头规范和强化部门和 单位的绩效管理工作，对区直部门和单位进入财政项目库的 项目绩效目标进行审核，对未填报绩效目标或填报不合理的 项目一律退回，并指导预算单位规范科学填报。2021年，审核区直部门新增2022年入库项目487个，涉及资金519亿元。</w:t>
      </w:r>
    </w:p>
    <w:p>
      <w:pPr>
        <w:keepNext w:val="0"/>
        <w:keepLines w:val="0"/>
        <w:pageBreakBefore w:val="0"/>
        <w:widowControl w:val="0"/>
        <w:numPr>
          <w:numId w:val="0"/>
        </w:numPr>
        <w:kinsoku/>
        <w:wordWrap/>
        <w:overflowPunct/>
        <w:topLinePunct w:val="0"/>
        <w:autoSpaceDE/>
        <w:autoSpaceDN/>
        <w:bidi w:val="0"/>
        <w:adjustRightInd/>
        <w:snapToGrid/>
        <w:ind w:firstLine="643"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2.绩效监控全面推进。</w:t>
      </w:r>
      <w:r>
        <w:rPr>
          <w:rFonts w:hint="eastAsia" w:ascii="仿宋" w:hAnsi="仿宋" w:eastAsia="仿宋" w:cs="仿宋"/>
          <w:b w:val="0"/>
          <w:bCs w:val="0"/>
          <w:sz w:val="32"/>
          <w:szCs w:val="32"/>
          <w:lang w:val="en-US" w:eastAsia="zh-CN"/>
        </w:rPr>
        <w:t>对区直部门绩效运行监控项目支 出全覆盖，并对绩效监控发现的绩效目标执行偏差和管理漏 洞，提出分类处置措施。对区直部门和单位绩效监控进行抽 查复核，2021年组织区直各部门开展绩效监控项目168个，涉及资金58.36亿元。把加强绩效监控管理和加快项目支出进度有效结合起来，不断压实部门绩效管理主体责任。</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3.绩效评价提质扩围。</w:t>
      </w:r>
      <w:r>
        <w:rPr>
          <w:rFonts w:hint="eastAsia" w:ascii="仿宋" w:hAnsi="仿宋" w:eastAsia="仿宋" w:cs="仿宋"/>
          <w:b w:val="0"/>
          <w:bCs w:val="0"/>
          <w:sz w:val="32"/>
          <w:szCs w:val="32"/>
          <w:lang w:val="en-US" w:eastAsia="zh-CN"/>
        </w:rPr>
        <w:t>绩效自评方面，要求区直部门对 预算项目、中央和省级转移支付执行情况和部门整体支出开 展绩效自评，实现全覆盖。财政评价方面，选择2020年度城乡低保专项资金等4个项目开展财政重点评价，涉及资金19.2亿元。2021年组织区直各部门开展部门预算绩效自评项目97个，涉及资金37.4亿元。</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4.评价结果运用不断强化。</w:t>
      </w:r>
      <w:r>
        <w:rPr>
          <w:rFonts w:hint="eastAsia" w:ascii="仿宋" w:hAnsi="仿宋" w:eastAsia="仿宋" w:cs="仿宋"/>
          <w:b w:val="0"/>
          <w:bCs w:val="0"/>
          <w:sz w:val="32"/>
          <w:szCs w:val="32"/>
          <w:lang w:val="en-US" w:eastAsia="zh-CN"/>
        </w:rPr>
        <w:t>建立报告、公开、反馈整改 及约谈问责等共性应用和完善财政政策、调整预算安排等个 性应用相结合的评价结果应用机制。一是将重点绩效评价发 现的问题反馈给相关区直部门，要求对存在问题限期进行整 改；二是通过组织专业第三方机构评审，出具项目评价报告，充分发挥财政重点绩效评价对提高政府管理效率和财政支出效益的积极作用。</w:t>
      </w:r>
      <w:bookmarkStart w:id="0" w:name="_GoBack"/>
      <w:bookmarkEnd w:id="0"/>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2D8F0D"/>
    <w:multiLevelType w:val="singleLevel"/>
    <w:tmpl w:val="952D8F0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331B88"/>
    <w:rsid w:val="0C020F3E"/>
    <w:rsid w:val="2AEC2960"/>
    <w:rsid w:val="2D35112F"/>
    <w:rsid w:val="3C331B88"/>
    <w:rsid w:val="412C2C08"/>
    <w:rsid w:val="45770104"/>
    <w:rsid w:val="47041C69"/>
    <w:rsid w:val="4C91469C"/>
    <w:rsid w:val="546C4486"/>
    <w:rsid w:val="54F62445"/>
    <w:rsid w:val="61050987"/>
    <w:rsid w:val="768862E3"/>
    <w:rsid w:val="7AC177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68</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2020-01-06T01:45:00Z</dcterms:created>
  <dc:creator>Administrator</dc:creator>
  <cp:lastModifiedBy>Administrator</cp:lastModifiedBy>
  <cp:lastPrinted>2020-01-09T11:32:00Z</cp:lastPrinted>
  <dcterms:modified xsi:type="dcterms:W3CDTF">2022-09-09T08:29:51Z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6D506A9EA8E24574A1888C1C83372FB1</vt:lpwstr>
  </property>
</Properties>
</file>